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E0" w:rsidRDefault="008725D6" w:rsidP="00C17CD8">
      <w:pPr>
        <w:pStyle w:val="Heading6"/>
        <w:rPr>
          <w:rFonts w:ascii="Arial" w:hAnsi="Arial"/>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-386714</wp:posOffset>
                </wp:positionV>
                <wp:extent cx="2266950" cy="300251"/>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00251"/>
                        </a:xfrm>
                        <a:prstGeom prst="rect">
                          <a:avLst/>
                        </a:prstGeom>
                        <a:solidFill>
                          <a:srgbClr val="FFFFFF"/>
                        </a:solidFill>
                        <a:ln w="9525">
                          <a:solidFill>
                            <a:srgbClr val="000000"/>
                          </a:solidFill>
                          <a:miter lim="800000"/>
                          <a:headEnd/>
                          <a:tailEnd/>
                        </a:ln>
                      </wps:spPr>
                      <wps:txbx>
                        <w:txbxContent>
                          <w:p w:rsidR="000331F9" w:rsidRPr="00592F54" w:rsidRDefault="008725D6" w:rsidP="00D25881">
                            <w:pPr>
                              <w:ind w:left="720" w:firstLine="720"/>
                              <w:rPr>
                                <w:sz w:val="28"/>
                                <w:szCs w:val="28"/>
                              </w:rPr>
                            </w:pPr>
                            <w:r w:rsidRPr="00592F54">
                              <w:rPr>
                                <w:b/>
                                <w:sz w:val="28"/>
                                <w:szCs w:val="28"/>
                              </w:rPr>
                              <w:t>Appendix A</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pt;margin-top:-30.45pt;width:178.5pt;height:23.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">
                <v:textbox>
                  <w:txbxContent>
                    <w:p w:rsidR="000331F9" w:rsidRPr="00592F54" w:rsidRDefault="008725D6" w:rsidP="00D25881">
                      <w:pPr>
                        <w:ind w:left="720" w:firstLine="720"/>
                        <w:rPr>
                          <w:sz w:val="28"/>
                          <w:szCs w:val="28"/>
                        </w:rPr>
                      </w:pPr>
                      <w:r w:rsidRPr="00592F54">
                        <w:rPr>
                          <w:b/>
                          <w:sz w:val="28"/>
                          <w:szCs w:val="28"/>
                        </w:rPr>
                        <w:t>Appendix A</w:t>
                      </w:r>
                    </w:p>
                  </w:txbxContent>
                </v:textbox>
                <w10:wrap anchorx="margin"/>
              </v:shape>
            </w:pict>
          </mc:Fallback>
        </mc:AlternateContent>
      </w:r>
    </w:p>
    <w:p w:rsidR="00AB2052" w:rsidRPr="008337AA" w:rsidRDefault="008725D6" w:rsidP="008337AA">
      <w:pPr>
        <w:jc w:val="both"/>
        <w:rPr>
          <w:rFonts w:cs="Arial"/>
          <w:b/>
          <w:sz w:val="28"/>
          <w:szCs w:val="28"/>
        </w:rPr>
      </w:pPr>
      <w:r w:rsidRPr="008337AA">
        <w:rPr>
          <w:rFonts w:cs="Arial"/>
          <w:b/>
          <w:sz w:val="28"/>
          <w:szCs w:val="28"/>
        </w:rPr>
        <w:t xml:space="preserve">Treasury Management Activity </w:t>
      </w:r>
      <w:r w:rsidR="000F7D21">
        <w:rPr>
          <w:rFonts w:cs="Arial"/>
          <w:b/>
          <w:sz w:val="28"/>
          <w:szCs w:val="28"/>
        </w:rPr>
        <w:t xml:space="preserve">- </w:t>
      </w:r>
      <w:r w:rsidR="00F00B6E">
        <w:rPr>
          <w:rFonts w:cs="Arial"/>
          <w:b/>
          <w:sz w:val="28"/>
          <w:szCs w:val="28"/>
        </w:rPr>
        <w:t>Second</w:t>
      </w:r>
      <w:r w:rsidR="000F7D21">
        <w:rPr>
          <w:rFonts w:cs="Arial"/>
          <w:b/>
          <w:sz w:val="28"/>
          <w:szCs w:val="28"/>
        </w:rPr>
        <w:t xml:space="preserve"> </w:t>
      </w:r>
      <w:r w:rsidRPr="008337AA">
        <w:rPr>
          <w:rFonts w:cs="Arial"/>
          <w:b/>
          <w:sz w:val="28"/>
          <w:szCs w:val="28"/>
        </w:rPr>
        <w:t>Report 201</w:t>
      </w:r>
      <w:r>
        <w:rPr>
          <w:rFonts w:cs="Arial"/>
          <w:b/>
          <w:sz w:val="28"/>
          <w:szCs w:val="28"/>
        </w:rPr>
        <w:t>6-17</w:t>
      </w:r>
    </w:p>
    <w:p w:rsidR="000D2521" w:rsidRPr="008337AA" w:rsidRDefault="005E5354" w:rsidP="008337AA">
      <w:pPr>
        <w:pStyle w:val="ListParagraph"/>
        <w:ind w:left="0"/>
        <w:jc w:val="both"/>
        <w:rPr>
          <w:rFonts w:cs="Arial"/>
          <w:b/>
          <w:szCs w:val="24"/>
        </w:rPr>
      </w:pPr>
    </w:p>
    <w:p w:rsidR="00BE75C4" w:rsidRPr="000275F8" w:rsidRDefault="008725D6" w:rsidP="00BF215C">
      <w:pPr>
        <w:pStyle w:val="ListParagraph"/>
        <w:numPr>
          <w:ilvl w:val="0"/>
          <w:numId w:val="13"/>
        </w:numPr>
        <w:spacing w:line="240" w:lineRule="auto"/>
        <w:jc w:val="both"/>
        <w:rPr>
          <w:rFonts w:cs="Arial"/>
          <w:b/>
          <w:szCs w:val="24"/>
        </w:rPr>
      </w:pPr>
      <w:r w:rsidRPr="000275F8">
        <w:rPr>
          <w:rFonts w:cs="Arial"/>
          <w:b/>
          <w:szCs w:val="24"/>
        </w:rPr>
        <w:t>Background</w:t>
      </w:r>
    </w:p>
    <w:p w:rsidR="00861569" w:rsidRPr="000275F8" w:rsidRDefault="008725D6" w:rsidP="00BF215C">
      <w:pPr>
        <w:ind w:right="96"/>
        <w:jc w:val="both"/>
        <w:rPr>
          <w:rFonts w:cs="Arial"/>
          <w:szCs w:val="24"/>
        </w:rPr>
      </w:pPr>
      <w:r w:rsidRPr="000275F8">
        <w:rPr>
          <w:rFonts w:cs="Arial"/>
          <w:szCs w:val="24"/>
        </w:rPr>
        <w:t>The County Council’s Treasury Management activity is underpinned by CIPFA’s Code of Practice on Treasury Management (“the Code”), which requires authorities to produce annually Prudential Indicators and a Treasury Management Strategy Statement on the likely financing and investment activity. The Code also recommends that members are informed of treasury management a</w:t>
      </w:r>
      <w:r w:rsidR="00D63D87">
        <w:rPr>
          <w:rFonts w:cs="Arial"/>
          <w:szCs w:val="24"/>
        </w:rPr>
        <w:t>ctivities at least twice a year including year-end.</w:t>
      </w:r>
    </w:p>
    <w:p w:rsidR="00BE75C4" w:rsidRPr="000275F8" w:rsidRDefault="005E5354" w:rsidP="00BF215C">
      <w:pPr>
        <w:ind w:right="96"/>
        <w:jc w:val="both"/>
        <w:rPr>
          <w:rFonts w:cs="Arial"/>
          <w:szCs w:val="24"/>
        </w:rPr>
      </w:pPr>
    </w:p>
    <w:p w:rsidR="00BE75C4" w:rsidRPr="000275F8" w:rsidRDefault="00D63D87" w:rsidP="008337AA">
      <w:pPr>
        <w:jc w:val="both"/>
        <w:rPr>
          <w:rFonts w:cs="Arial"/>
          <w:szCs w:val="24"/>
        </w:rPr>
      </w:pPr>
      <w:r>
        <w:rPr>
          <w:rFonts w:cs="Arial"/>
          <w:szCs w:val="24"/>
        </w:rPr>
        <w:t>The activity to 31</w:t>
      </w:r>
      <w:r w:rsidRPr="00D63D87">
        <w:rPr>
          <w:rFonts w:cs="Arial"/>
          <w:szCs w:val="24"/>
          <w:vertAlign w:val="superscript"/>
        </w:rPr>
        <w:t>st</w:t>
      </w:r>
      <w:r>
        <w:rPr>
          <w:rFonts w:cs="Arial"/>
          <w:szCs w:val="24"/>
        </w:rPr>
        <w:t xml:space="preserve"> July has already been reported</w:t>
      </w:r>
      <w:r w:rsidR="00C70AAC">
        <w:rPr>
          <w:rFonts w:cs="Arial"/>
          <w:szCs w:val="24"/>
        </w:rPr>
        <w:t xml:space="preserve"> to the Committee</w:t>
      </w:r>
      <w:r>
        <w:rPr>
          <w:rFonts w:cs="Arial"/>
          <w:szCs w:val="24"/>
        </w:rPr>
        <w:t xml:space="preserve"> therefore t</w:t>
      </w:r>
      <w:r w:rsidR="008725D6" w:rsidRPr="000275F8">
        <w:rPr>
          <w:rFonts w:cs="Arial"/>
          <w:szCs w:val="24"/>
        </w:rPr>
        <w:t>his report considers treasury management activity between 1</w:t>
      </w:r>
      <w:r w:rsidR="008725D6" w:rsidRPr="000275F8">
        <w:rPr>
          <w:rFonts w:cs="Arial"/>
          <w:szCs w:val="24"/>
          <w:vertAlign w:val="superscript"/>
        </w:rPr>
        <w:t>st</w:t>
      </w:r>
      <w:r w:rsidR="008725D6" w:rsidRPr="000275F8">
        <w:rPr>
          <w:rFonts w:cs="Arial"/>
          <w:szCs w:val="24"/>
        </w:rPr>
        <w:t xml:space="preserve"> </w:t>
      </w:r>
      <w:r w:rsidR="00F00B6E">
        <w:rPr>
          <w:rFonts w:cs="Arial"/>
          <w:szCs w:val="24"/>
        </w:rPr>
        <w:t>August</w:t>
      </w:r>
      <w:r w:rsidR="008725D6">
        <w:rPr>
          <w:rFonts w:cs="Arial"/>
          <w:szCs w:val="24"/>
        </w:rPr>
        <w:t xml:space="preserve"> 2016</w:t>
      </w:r>
      <w:r w:rsidR="008725D6" w:rsidRPr="000275F8">
        <w:rPr>
          <w:rFonts w:cs="Arial"/>
          <w:szCs w:val="24"/>
        </w:rPr>
        <w:t xml:space="preserve"> and </w:t>
      </w:r>
      <w:r w:rsidR="00F00B6E">
        <w:rPr>
          <w:rFonts w:cs="Arial"/>
          <w:szCs w:val="24"/>
        </w:rPr>
        <w:t>30</w:t>
      </w:r>
      <w:r w:rsidR="000A0638" w:rsidRPr="000A0638">
        <w:rPr>
          <w:rFonts w:cs="Arial"/>
          <w:szCs w:val="24"/>
          <w:vertAlign w:val="superscript"/>
        </w:rPr>
        <w:t>th</w:t>
      </w:r>
      <w:r w:rsidR="000A0638">
        <w:rPr>
          <w:rFonts w:cs="Arial"/>
          <w:szCs w:val="24"/>
        </w:rPr>
        <w:t xml:space="preserve"> </w:t>
      </w:r>
      <w:r w:rsidR="00F00B6E">
        <w:rPr>
          <w:rFonts w:cs="Arial"/>
          <w:szCs w:val="24"/>
        </w:rPr>
        <w:t>November</w:t>
      </w:r>
      <w:r w:rsidR="008725D6" w:rsidRPr="000275F8">
        <w:rPr>
          <w:rFonts w:cs="Arial"/>
          <w:szCs w:val="24"/>
        </w:rPr>
        <w:t xml:space="preserve"> 201</w:t>
      </w:r>
      <w:r w:rsidR="008725D6">
        <w:rPr>
          <w:rFonts w:cs="Arial"/>
          <w:szCs w:val="24"/>
        </w:rPr>
        <w:t>6</w:t>
      </w:r>
      <w:r w:rsidR="008725D6" w:rsidRPr="000275F8">
        <w:rPr>
          <w:rFonts w:cs="Arial"/>
          <w:szCs w:val="24"/>
        </w:rPr>
        <w:t>.</w:t>
      </w:r>
    </w:p>
    <w:p w:rsidR="007828C9" w:rsidRPr="000275F8" w:rsidRDefault="005E5354" w:rsidP="008337AA">
      <w:pPr>
        <w:jc w:val="both"/>
        <w:rPr>
          <w:rFonts w:cs="Arial"/>
          <w:b/>
          <w:szCs w:val="24"/>
          <w:highlight w:val="green"/>
        </w:rPr>
      </w:pPr>
    </w:p>
    <w:p w:rsidR="00650C2F" w:rsidRPr="00061DED" w:rsidRDefault="008725D6" w:rsidP="008337AA">
      <w:pPr>
        <w:pStyle w:val="ListParagraph"/>
        <w:numPr>
          <w:ilvl w:val="0"/>
          <w:numId w:val="13"/>
        </w:numPr>
        <w:spacing w:line="240" w:lineRule="auto"/>
        <w:jc w:val="both"/>
        <w:rPr>
          <w:rFonts w:cs="Arial"/>
          <w:b/>
          <w:szCs w:val="24"/>
        </w:rPr>
      </w:pPr>
      <w:r w:rsidRPr="00061DED">
        <w:rPr>
          <w:rFonts w:cs="Arial"/>
          <w:b/>
          <w:szCs w:val="24"/>
        </w:rPr>
        <w:t>Economic Context in the period</w:t>
      </w:r>
    </w:p>
    <w:p w:rsidR="000321EF" w:rsidRDefault="008725D6" w:rsidP="00A26684">
      <w:pPr>
        <w:jc w:val="both"/>
        <w:rPr>
          <w:rFonts w:cs="Arial"/>
          <w:szCs w:val="24"/>
        </w:rPr>
      </w:pPr>
      <w:r w:rsidRPr="00065E49">
        <w:rPr>
          <w:rFonts w:cs="Arial"/>
          <w:szCs w:val="24"/>
        </w:rPr>
        <w:t xml:space="preserve">The economic situation between </w:t>
      </w:r>
      <w:r w:rsidR="00A26684" w:rsidRPr="00065E49">
        <w:rPr>
          <w:rFonts w:cs="Arial"/>
          <w:szCs w:val="24"/>
        </w:rPr>
        <w:t>August</w:t>
      </w:r>
      <w:r w:rsidRPr="00065E49">
        <w:rPr>
          <w:rFonts w:cs="Arial"/>
          <w:szCs w:val="24"/>
        </w:rPr>
        <w:t xml:space="preserve"> and </w:t>
      </w:r>
      <w:r w:rsidR="007715FB" w:rsidRPr="00065E49">
        <w:rPr>
          <w:rFonts w:cs="Arial"/>
          <w:szCs w:val="24"/>
        </w:rPr>
        <w:t>November</w:t>
      </w:r>
      <w:r w:rsidRPr="00065E49">
        <w:rPr>
          <w:rFonts w:cs="Arial"/>
          <w:szCs w:val="24"/>
        </w:rPr>
        <w:t xml:space="preserve"> </w:t>
      </w:r>
      <w:r w:rsidR="007715FB" w:rsidRPr="00065E49">
        <w:rPr>
          <w:rFonts w:cs="Arial"/>
          <w:szCs w:val="24"/>
        </w:rPr>
        <w:t>was</w:t>
      </w:r>
      <w:r w:rsidRPr="00065E49">
        <w:rPr>
          <w:rFonts w:cs="Arial"/>
          <w:szCs w:val="24"/>
        </w:rPr>
        <w:t xml:space="preserve"> dominated by </w:t>
      </w:r>
      <w:r w:rsidR="0019395F">
        <w:rPr>
          <w:rFonts w:cs="Arial"/>
          <w:szCs w:val="24"/>
        </w:rPr>
        <w:t xml:space="preserve">the uncertainty </w:t>
      </w:r>
      <w:r w:rsidRPr="00065E49">
        <w:rPr>
          <w:rFonts w:cs="Arial"/>
          <w:szCs w:val="24"/>
        </w:rPr>
        <w:t>about</w:t>
      </w:r>
      <w:r w:rsidR="0019395F">
        <w:rPr>
          <w:rFonts w:cs="Arial"/>
          <w:szCs w:val="24"/>
        </w:rPr>
        <w:t xml:space="preserve"> the short and medium term implications of the decision to leave</w:t>
      </w:r>
      <w:r w:rsidR="00065E49">
        <w:rPr>
          <w:rFonts w:cs="Arial"/>
          <w:szCs w:val="24"/>
        </w:rPr>
        <w:t xml:space="preserve"> the</w:t>
      </w:r>
      <w:r w:rsidRPr="00065E49">
        <w:rPr>
          <w:rFonts w:cs="Arial"/>
          <w:szCs w:val="24"/>
        </w:rPr>
        <w:t xml:space="preserve"> EU. </w:t>
      </w:r>
      <w:r w:rsidR="00065E49">
        <w:rPr>
          <w:rFonts w:cs="Arial"/>
          <w:szCs w:val="24"/>
        </w:rPr>
        <w:t>In response to the risk of reduced economic growth</w:t>
      </w:r>
      <w:r w:rsidR="007715FB">
        <w:rPr>
          <w:rFonts w:cs="Arial"/>
          <w:szCs w:val="24"/>
        </w:rPr>
        <w:t xml:space="preserve"> the</w:t>
      </w:r>
      <w:r w:rsidR="00065E49">
        <w:rPr>
          <w:rFonts w:cs="Arial"/>
          <w:szCs w:val="24"/>
        </w:rPr>
        <w:t xml:space="preserve"> </w:t>
      </w:r>
      <w:r w:rsidR="007715FB" w:rsidRPr="007715FB">
        <w:rPr>
          <w:rFonts w:cs="Arial"/>
          <w:szCs w:val="24"/>
        </w:rPr>
        <w:t>Bank of England Monetary Policy Committee initiat</w:t>
      </w:r>
      <w:r w:rsidR="00065E49">
        <w:rPr>
          <w:rFonts w:cs="Arial"/>
          <w:szCs w:val="24"/>
        </w:rPr>
        <w:t>ed</w:t>
      </w:r>
      <w:r w:rsidR="007715FB" w:rsidRPr="007715FB">
        <w:rPr>
          <w:rFonts w:cs="Arial"/>
          <w:szCs w:val="24"/>
        </w:rPr>
        <w:t xml:space="preserve"> substantial monetary policy easing at its August meeting. This included a cut in</w:t>
      </w:r>
      <w:r w:rsidR="00A23DB7">
        <w:rPr>
          <w:rFonts w:cs="Arial"/>
          <w:szCs w:val="24"/>
        </w:rPr>
        <w:t xml:space="preserve"> the</w:t>
      </w:r>
      <w:r w:rsidR="007715FB" w:rsidRPr="007715FB">
        <w:rPr>
          <w:rFonts w:cs="Arial"/>
          <w:szCs w:val="24"/>
        </w:rPr>
        <w:t xml:space="preserve"> Bank Rate to 0.25%, further gilt and corporate bond purchases (QE) and cheap funding for banks (Term Funding Scheme) to maintain the supply of credit to the economy</w:t>
      </w:r>
      <w:r w:rsidR="00065E49">
        <w:rPr>
          <w:rFonts w:cs="Arial"/>
          <w:szCs w:val="24"/>
        </w:rPr>
        <w:t>.</w:t>
      </w:r>
      <w:r w:rsidR="000321EF">
        <w:rPr>
          <w:rFonts w:cs="Arial"/>
          <w:szCs w:val="24"/>
        </w:rPr>
        <w:t xml:space="preserve"> To date</w:t>
      </w:r>
      <w:r w:rsidR="003D780B">
        <w:rPr>
          <w:rFonts w:cs="Arial"/>
          <w:szCs w:val="24"/>
        </w:rPr>
        <w:t xml:space="preserve">, </w:t>
      </w:r>
      <w:r w:rsidR="000321EF">
        <w:rPr>
          <w:rFonts w:cs="Arial"/>
          <w:szCs w:val="24"/>
        </w:rPr>
        <w:t>t</w:t>
      </w:r>
      <w:r w:rsidR="00065E49" w:rsidRPr="00065E49">
        <w:rPr>
          <w:rFonts w:cs="Arial"/>
          <w:szCs w:val="24"/>
        </w:rPr>
        <w:t>he</w:t>
      </w:r>
      <w:r w:rsidR="00065E49">
        <w:rPr>
          <w:rFonts w:cs="Arial"/>
          <w:szCs w:val="24"/>
        </w:rPr>
        <w:t xml:space="preserve"> economy is still showing growth with the</w:t>
      </w:r>
      <w:r w:rsidR="00065E49" w:rsidRPr="00065E49">
        <w:rPr>
          <w:rFonts w:cs="Arial"/>
          <w:szCs w:val="24"/>
        </w:rPr>
        <w:t xml:space="preserve"> </w:t>
      </w:r>
      <w:r w:rsidR="00065E49">
        <w:rPr>
          <w:rFonts w:cs="Arial"/>
          <w:szCs w:val="24"/>
        </w:rPr>
        <w:t xml:space="preserve">Office of National Statistics (ONS) </w:t>
      </w:r>
      <w:r w:rsidR="00065E49" w:rsidRPr="00065E49">
        <w:rPr>
          <w:rFonts w:cs="Arial"/>
          <w:szCs w:val="24"/>
        </w:rPr>
        <w:t>estimate of Q3 GDP  show</w:t>
      </w:r>
      <w:r w:rsidR="00065E49">
        <w:rPr>
          <w:rFonts w:cs="Arial"/>
          <w:szCs w:val="24"/>
        </w:rPr>
        <w:t xml:space="preserve">ing that </w:t>
      </w:r>
      <w:r w:rsidR="00065E49" w:rsidRPr="00065E49">
        <w:rPr>
          <w:rFonts w:cs="Arial"/>
          <w:szCs w:val="24"/>
        </w:rPr>
        <w:t xml:space="preserve"> the UK economy expanded by 0.6% over the quarter and 2.2% year-on-yea</w:t>
      </w:r>
      <w:r w:rsidR="00065E49">
        <w:rPr>
          <w:rFonts w:cs="Arial"/>
          <w:szCs w:val="24"/>
        </w:rPr>
        <w:t xml:space="preserve">r. </w:t>
      </w:r>
    </w:p>
    <w:p w:rsidR="000321EF" w:rsidRDefault="000321EF" w:rsidP="00A26684">
      <w:pPr>
        <w:jc w:val="both"/>
        <w:rPr>
          <w:rFonts w:cs="Arial"/>
          <w:szCs w:val="24"/>
        </w:rPr>
      </w:pPr>
    </w:p>
    <w:p w:rsidR="00065E49" w:rsidRPr="00065E49" w:rsidRDefault="000321EF" w:rsidP="00A26684">
      <w:pPr>
        <w:jc w:val="both"/>
        <w:rPr>
          <w:rFonts w:cs="Arial"/>
          <w:szCs w:val="24"/>
        </w:rPr>
      </w:pPr>
      <w:r>
        <w:rPr>
          <w:rFonts w:cs="Arial"/>
          <w:szCs w:val="24"/>
        </w:rPr>
        <w:t>Another key economic feature of the period was the expectation for an increase in inflation. With the currency falling in value</w:t>
      </w:r>
      <w:r w:rsidR="00C70AAC">
        <w:rPr>
          <w:rFonts w:cs="Arial"/>
          <w:szCs w:val="24"/>
        </w:rPr>
        <w:t>,</w:t>
      </w:r>
      <w:r>
        <w:rPr>
          <w:rFonts w:cs="Arial"/>
          <w:szCs w:val="24"/>
        </w:rPr>
        <w:t xml:space="preserve"> </w:t>
      </w:r>
      <w:r w:rsidRPr="000321EF">
        <w:rPr>
          <w:rFonts w:cs="Arial"/>
          <w:szCs w:val="24"/>
        </w:rPr>
        <w:t>import prices</w:t>
      </w:r>
      <w:r>
        <w:rPr>
          <w:rFonts w:cs="Arial"/>
          <w:szCs w:val="24"/>
        </w:rPr>
        <w:t xml:space="preserve"> are rising. </w:t>
      </w:r>
      <w:r w:rsidRPr="000321EF">
        <w:rPr>
          <w:rFonts w:cs="Arial"/>
          <w:szCs w:val="24"/>
        </w:rPr>
        <w:t>The August Quarterly Inflation Report from the Bank of England forecast</w:t>
      </w:r>
      <w:r w:rsidR="003D780B">
        <w:rPr>
          <w:rFonts w:cs="Arial"/>
          <w:szCs w:val="24"/>
        </w:rPr>
        <w:t>ed</w:t>
      </w:r>
      <w:r w:rsidRPr="000321EF">
        <w:rPr>
          <w:rFonts w:cs="Arial"/>
          <w:szCs w:val="24"/>
        </w:rPr>
        <w:t xml:space="preserve"> a rise in CPI to 0.9% by the end of calendar 2016 and thereafter a rise closer to the Bank’s </w:t>
      </w:r>
      <w:r>
        <w:rPr>
          <w:rFonts w:cs="Arial"/>
          <w:szCs w:val="24"/>
        </w:rPr>
        <w:t>2% target over the coming year. The expectation of increased inflation was borne out with t</w:t>
      </w:r>
      <w:r w:rsidRPr="000321EF">
        <w:rPr>
          <w:rFonts w:cs="Arial"/>
          <w:szCs w:val="24"/>
        </w:rPr>
        <w:t>he Consumer Price Index (CPI) r</w:t>
      </w:r>
      <w:r>
        <w:rPr>
          <w:rFonts w:cs="Arial"/>
          <w:szCs w:val="24"/>
        </w:rPr>
        <w:t>ising to</w:t>
      </w:r>
      <w:r w:rsidRPr="000321EF">
        <w:rPr>
          <w:rFonts w:cs="Arial"/>
          <w:szCs w:val="24"/>
        </w:rPr>
        <w:t xml:space="preserve"> 1.2% in November 2016</w:t>
      </w:r>
      <w:r>
        <w:rPr>
          <w:rFonts w:cs="Arial"/>
          <w:szCs w:val="24"/>
        </w:rPr>
        <w:t xml:space="preserve"> which </w:t>
      </w:r>
      <w:r w:rsidRPr="000321EF">
        <w:rPr>
          <w:rFonts w:cs="Arial"/>
          <w:szCs w:val="24"/>
        </w:rPr>
        <w:t>represent</w:t>
      </w:r>
      <w:r>
        <w:rPr>
          <w:rFonts w:cs="Arial"/>
          <w:szCs w:val="24"/>
        </w:rPr>
        <w:t>s</w:t>
      </w:r>
      <w:r w:rsidRPr="000321EF">
        <w:rPr>
          <w:rFonts w:cs="Arial"/>
          <w:szCs w:val="24"/>
        </w:rPr>
        <w:t xml:space="preserve"> the highest CPI rate since October 2014.</w:t>
      </w:r>
    </w:p>
    <w:p w:rsidR="007828C9" w:rsidRPr="00061DED" w:rsidRDefault="008725D6" w:rsidP="008337AA">
      <w:pPr>
        <w:pStyle w:val="Heading2"/>
        <w:jc w:val="both"/>
        <w:rPr>
          <w:rFonts w:ascii="Arial" w:hAnsi="Arial" w:cs="Arial"/>
          <w:color w:val="auto"/>
          <w:sz w:val="24"/>
          <w:szCs w:val="24"/>
        </w:rPr>
      </w:pPr>
      <w:r w:rsidRPr="00061DED">
        <w:rPr>
          <w:rFonts w:ascii="Arial" w:hAnsi="Arial" w:cs="Arial"/>
          <w:color w:val="auto"/>
          <w:sz w:val="24"/>
          <w:szCs w:val="24"/>
        </w:rPr>
        <w:t>2.1 Interest Rate Environment</w:t>
      </w:r>
    </w:p>
    <w:p w:rsidR="007828C9" w:rsidRPr="00061DED" w:rsidRDefault="005E5354" w:rsidP="008337AA">
      <w:pPr>
        <w:jc w:val="both"/>
        <w:rPr>
          <w:rFonts w:cs="Arial"/>
          <w:szCs w:val="24"/>
        </w:rPr>
      </w:pPr>
    </w:p>
    <w:p w:rsidR="00C110EE" w:rsidRPr="00061DED" w:rsidRDefault="008725D6" w:rsidP="00EF51FD">
      <w:pPr>
        <w:jc w:val="both"/>
        <w:rPr>
          <w:rFonts w:cs="Arial"/>
          <w:szCs w:val="24"/>
        </w:rPr>
      </w:pPr>
      <w:r w:rsidRPr="003D780B">
        <w:rPr>
          <w:rFonts w:cs="Arial"/>
          <w:szCs w:val="24"/>
        </w:rPr>
        <w:t>Short term interest rates continue to be at historically very low levels.</w:t>
      </w:r>
      <w:r w:rsidR="003D780B" w:rsidRPr="003D780B">
        <w:rPr>
          <w:rFonts w:cs="Arial"/>
          <w:szCs w:val="24"/>
        </w:rPr>
        <w:t xml:space="preserve"> As referred to above in response to </w:t>
      </w:r>
      <w:r w:rsidR="0019395F">
        <w:rPr>
          <w:rFonts w:cs="Arial"/>
          <w:szCs w:val="24"/>
        </w:rPr>
        <w:t xml:space="preserve">a </w:t>
      </w:r>
      <w:r w:rsidR="003D780B" w:rsidRPr="003D780B">
        <w:rPr>
          <w:rFonts w:cs="Arial"/>
          <w:szCs w:val="24"/>
        </w:rPr>
        <w:t>potential</w:t>
      </w:r>
      <w:r w:rsidRPr="003D780B">
        <w:rPr>
          <w:rFonts w:cs="Arial"/>
          <w:szCs w:val="24"/>
        </w:rPr>
        <w:t xml:space="preserve"> </w:t>
      </w:r>
      <w:r w:rsidR="003D780B" w:rsidRPr="003D780B">
        <w:rPr>
          <w:rFonts w:cs="Arial"/>
          <w:szCs w:val="24"/>
        </w:rPr>
        <w:t xml:space="preserve">reduction in economic growth </w:t>
      </w:r>
      <w:r w:rsidR="00D63D87">
        <w:rPr>
          <w:rFonts w:cs="Arial"/>
          <w:szCs w:val="24"/>
        </w:rPr>
        <w:t>t</w:t>
      </w:r>
      <w:r w:rsidRPr="003D780B">
        <w:rPr>
          <w:rFonts w:cs="Arial"/>
          <w:szCs w:val="24"/>
        </w:rPr>
        <w:t>he Bank of England reduce</w:t>
      </w:r>
      <w:r w:rsidR="00EF51FD">
        <w:rPr>
          <w:rFonts w:cs="Arial"/>
          <w:szCs w:val="24"/>
        </w:rPr>
        <w:t>d</w:t>
      </w:r>
      <w:r w:rsidRPr="003D780B">
        <w:rPr>
          <w:rFonts w:cs="Arial"/>
          <w:szCs w:val="24"/>
        </w:rPr>
        <w:t xml:space="preserve"> the base rate </w:t>
      </w:r>
      <w:r w:rsidR="00EF51FD">
        <w:rPr>
          <w:rFonts w:cs="Arial"/>
          <w:szCs w:val="24"/>
        </w:rPr>
        <w:t xml:space="preserve">from 0.5% </w:t>
      </w:r>
      <w:r w:rsidRPr="003D780B">
        <w:rPr>
          <w:rFonts w:cs="Arial"/>
          <w:szCs w:val="24"/>
        </w:rPr>
        <w:t>to 0.25% in August 2016</w:t>
      </w:r>
      <w:r w:rsidR="003D780B">
        <w:rPr>
          <w:rFonts w:cs="Arial"/>
          <w:szCs w:val="24"/>
        </w:rPr>
        <w:t xml:space="preserve">; a level it remained at throughout the period. </w:t>
      </w:r>
      <w:r w:rsidR="00EF51FD">
        <w:rPr>
          <w:rFonts w:cs="Arial"/>
          <w:szCs w:val="24"/>
        </w:rPr>
        <w:t xml:space="preserve">The expectation is that interest rates will remain low </w:t>
      </w:r>
      <w:r w:rsidR="00D63D87">
        <w:rPr>
          <w:rFonts w:cs="Arial"/>
          <w:szCs w:val="24"/>
        </w:rPr>
        <w:t xml:space="preserve">for the rest of the financial year and beyond. </w:t>
      </w:r>
    </w:p>
    <w:p w:rsidR="00C110EE" w:rsidRPr="00061DED" w:rsidRDefault="005E5354" w:rsidP="00931724">
      <w:pPr>
        <w:jc w:val="both"/>
        <w:rPr>
          <w:rFonts w:cs="Arial"/>
          <w:szCs w:val="24"/>
        </w:rPr>
      </w:pPr>
    </w:p>
    <w:p w:rsidR="009D726B" w:rsidRPr="00EF51FD" w:rsidRDefault="008725D6" w:rsidP="00931724">
      <w:pPr>
        <w:jc w:val="both"/>
        <w:rPr>
          <w:rFonts w:cs="Arial"/>
          <w:b/>
          <w:szCs w:val="24"/>
        </w:rPr>
      </w:pPr>
      <w:r w:rsidRPr="00EF51FD">
        <w:rPr>
          <w:rFonts w:cs="Arial"/>
          <w:b/>
          <w:szCs w:val="24"/>
        </w:rPr>
        <w:t>2.2 Implications for Lancashire County Council Treasury Strategy</w:t>
      </w:r>
    </w:p>
    <w:p w:rsidR="004F52C8" w:rsidRPr="00F00B6E" w:rsidRDefault="005E5354" w:rsidP="00931724">
      <w:pPr>
        <w:jc w:val="both"/>
        <w:rPr>
          <w:rFonts w:cs="Arial"/>
          <w:b/>
          <w:szCs w:val="24"/>
          <w:highlight w:val="yellow"/>
        </w:rPr>
      </w:pPr>
    </w:p>
    <w:p w:rsidR="00C40927" w:rsidRDefault="00EF51FD" w:rsidP="00931724">
      <w:pPr>
        <w:pStyle w:val="ListParagraph"/>
        <w:spacing w:after="0" w:line="240" w:lineRule="auto"/>
        <w:ind w:left="0"/>
        <w:jc w:val="both"/>
        <w:rPr>
          <w:rFonts w:cs="Arial"/>
          <w:szCs w:val="24"/>
        </w:rPr>
      </w:pPr>
      <w:r w:rsidRPr="00EF51FD">
        <w:rPr>
          <w:rFonts w:cs="Arial"/>
          <w:szCs w:val="24"/>
        </w:rPr>
        <w:t>T</w:t>
      </w:r>
      <w:r w:rsidR="008725D6" w:rsidRPr="00EF51FD">
        <w:rPr>
          <w:rFonts w:cs="Arial"/>
          <w:szCs w:val="24"/>
        </w:rPr>
        <w:t xml:space="preserve">he County Council </w:t>
      </w:r>
      <w:r w:rsidRPr="00EF51FD">
        <w:rPr>
          <w:rFonts w:cs="Arial"/>
          <w:szCs w:val="24"/>
        </w:rPr>
        <w:t>continued to use</w:t>
      </w:r>
      <w:r w:rsidR="008725D6" w:rsidRPr="00EF51FD">
        <w:rPr>
          <w:rFonts w:cs="Arial"/>
          <w:szCs w:val="24"/>
        </w:rPr>
        <w:t xml:space="preserve"> short term market borrowing to fund capital expenditure so taking advantage of historically low interest rates. This policy has proved to be very effective in an environment where rates have stayed low </w:t>
      </w:r>
      <w:r>
        <w:rPr>
          <w:rFonts w:cs="Arial"/>
          <w:szCs w:val="24"/>
        </w:rPr>
        <w:t>throughout the year</w:t>
      </w:r>
      <w:r w:rsidR="008725D6" w:rsidRPr="00EF51FD">
        <w:rPr>
          <w:rFonts w:cs="Arial"/>
          <w:szCs w:val="24"/>
        </w:rPr>
        <w:t xml:space="preserve">. </w:t>
      </w:r>
      <w:r w:rsidR="00F9468D">
        <w:rPr>
          <w:rFonts w:cs="Arial"/>
          <w:szCs w:val="24"/>
        </w:rPr>
        <w:t>P</w:t>
      </w:r>
      <w:r w:rsidR="008725D6" w:rsidRPr="00EF51FD">
        <w:rPr>
          <w:rFonts w:cs="Arial"/>
          <w:szCs w:val="24"/>
        </w:rPr>
        <w:t>rospects for interest rate increases are continuously monitored</w:t>
      </w:r>
      <w:r w:rsidR="00F9468D">
        <w:rPr>
          <w:rFonts w:cs="Arial"/>
          <w:szCs w:val="24"/>
        </w:rPr>
        <w:t>, however</w:t>
      </w:r>
      <w:r w:rsidR="008725D6" w:rsidRPr="00EF51FD">
        <w:rPr>
          <w:rFonts w:cs="Arial"/>
          <w:szCs w:val="24"/>
        </w:rPr>
        <w:t xml:space="preserve"> it is not anticipated that the interest rates will rise</w:t>
      </w:r>
      <w:r w:rsidR="00F9468D">
        <w:rPr>
          <w:rFonts w:cs="Arial"/>
          <w:szCs w:val="24"/>
        </w:rPr>
        <w:t xml:space="preserve"> even though</w:t>
      </w:r>
      <w:r w:rsidR="008725D6" w:rsidRPr="00EF51FD">
        <w:rPr>
          <w:rFonts w:cs="Arial"/>
          <w:szCs w:val="24"/>
        </w:rPr>
        <w:t xml:space="preserve"> they are at very low levels</w:t>
      </w:r>
      <w:r>
        <w:rPr>
          <w:rFonts w:cs="Arial"/>
          <w:szCs w:val="24"/>
        </w:rPr>
        <w:t xml:space="preserve">. </w:t>
      </w:r>
      <w:r>
        <w:rPr>
          <w:rFonts w:cs="Arial"/>
          <w:szCs w:val="24"/>
        </w:rPr>
        <w:lastRenderedPageBreak/>
        <w:t>This includes the rates for</w:t>
      </w:r>
      <w:r w:rsidR="008725D6" w:rsidRPr="00EF51FD">
        <w:rPr>
          <w:rFonts w:cs="Arial"/>
          <w:szCs w:val="24"/>
        </w:rPr>
        <w:t xml:space="preserve"> long term borrowing. Therefore the opportunity of fixing some of the debt for a longer period will be kept under consideration</w:t>
      </w:r>
      <w:r w:rsidR="008725D6" w:rsidRPr="00061DED">
        <w:rPr>
          <w:rFonts w:cs="Arial"/>
          <w:szCs w:val="24"/>
        </w:rPr>
        <w:t>.</w:t>
      </w:r>
    </w:p>
    <w:p w:rsidR="00BE38D9" w:rsidRPr="00061DED" w:rsidRDefault="008725D6" w:rsidP="00957CF9">
      <w:pPr>
        <w:pStyle w:val="ListParagraph"/>
        <w:spacing w:after="0" w:line="240" w:lineRule="auto"/>
        <w:ind w:left="0"/>
        <w:jc w:val="both"/>
      </w:pPr>
      <w:r w:rsidRPr="00061DED">
        <w:rPr>
          <w:rFonts w:cs="Arial"/>
          <w:szCs w:val="24"/>
        </w:rPr>
        <w:t xml:space="preserve">  </w:t>
      </w:r>
    </w:p>
    <w:p w:rsidR="00A732FD" w:rsidRPr="000275F8" w:rsidRDefault="008725D6" w:rsidP="00931724">
      <w:pPr>
        <w:pStyle w:val="ListParagraph"/>
        <w:ind w:left="0"/>
        <w:jc w:val="both"/>
        <w:rPr>
          <w:rFonts w:cs="Arial"/>
          <w:b/>
          <w:szCs w:val="24"/>
        </w:rPr>
      </w:pPr>
      <w:r w:rsidRPr="000275F8">
        <w:rPr>
          <w:rFonts w:cs="Arial"/>
          <w:b/>
          <w:szCs w:val="24"/>
        </w:rPr>
        <w:t>3. Current Treasury Management Policy</w:t>
      </w:r>
    </w:p>
    <w:p w:rsidR="007B75FD" w:rsidRPr="00F15E20" w:rsidRDefault="008725D6" w:rsidP="00931724">
      <w:pPr>
        <w:jc w:val="both"/>
        <w:rPr>
          <w:rFonts w:cs="Arial"/>
          <w:szCs w:val="24"/>
          <w:lang w:eastAsia="en-US"/>
        </w:rPr>
      </w:pPr>
      <w:r w:rsidRPr="00F15E20">
        <w:rPr>
          <w:rFonts w:cs="Arial"/>
          <w:szCs w:val="24"/>
        </w:rPr>
        <w:t>Full Council approved the 201</w:t>
      </w:r>
      <w:r w:rsidR="000F7D21" w:rsidRPr="00F15E20">
        <w:rPr>
          <w:rFonts w:cs="Arial"/>
          <w:szCs w:val="24"/>
        </w:rPr>
        <w:t>6</w:t>
      </w:r>
      <w:r w:rsidRPr="00F15E20">
        <w:rPr>
          <w:rFonts w:cs="Arial"/>
          <w:szCs w:val="24"/>
        </w:rPr>
        <w:t>/1</w:t>
      </w:r>
      <w:r w:rsidR="000F7D21" w:rsidRPr="00F15E20">
        <w:rPr>
          <w:rFonts w:cs="Arial"/>
          <w:szCs w:val="24"/>
        </w:rPr>
        <w:t>7</w:t>
      </w:r>
      <w:r w:rsidRPr="00F15E20">
        <w:rPr>
          <w:rFonts w:cs="Arial"/>
          <w:szCs w:val="24"/>
        </w:rPr>
        <w:t xml:space="preserve"> treasury management strategy </w:t>
      </w:r>
      <w:r w:rsidR="000F7D21" w:rsidRPr="00F15E20">
        <w:rPr>
          <w:rFonts w:cs="Arial"/>
          <w:szCs w:val="24"/>
        </w:rPr>
        <w:t>i</w:t>
      </w:r>
      <w:r w:rsidRPr="00F15E20">
        <w:rPr>
          <w:rFonts w:cs="Arial"/>
          <w:szCs w:val="24"/>
        </w:rPr>
        <w:t xml:space="preserve">n </w:t>
      </w:r>
      <w:r w:rsidRPr="00F15E20">
        <w:rPr>
          <w:rFonts w:cs="Arial"/>
          <w:szCs w:val="24"/>
          <w:lang w:eastAsia="en-US"/>
        </w:rPr>
        <w:t>February 2016.  The County Council’s stated Treasury Management objectives are:</w:t>
      </w:r>
    </w:p>
    <w:p w:rsidR="007B75FD" w:rsidRPr="00F15E20" w:rsidRDefault="005E5354" w:rsidP="00931724">
      <w:pPr>
        <w:jc w:val="both"/>
        <w:rPr>
          <w:rFonts w:cs="Arial"/>
          <w:szCs w:val="24"/>
          <w:lang w:eastAsia="en-US"/>
        </w:rPr>
      </w:pPr>
    </w:p>
    <w:p w:rsidR="007B75FD" w:rsidRPr="00F15E20" w:rsidRDefault="008725D6" w:rsidP="00931724">
      <w:pPr>
        <w:ind w:left="426" w:hanging="426"/>
        <w:jc w:val="both"/>
        <w:rPr>
          <w:rFonts w:cs="Arial"/>
          <w:szCs w:val="24"/>
          <w:lang w:eastAsia="en-US"/>
        </w:rPr>
      </w:pPr>
      <w:r w:rsidRPr="00F15E20">
        <w:rPr>
          <w:rFonts w:cs="Arial"/>
          <w:szCs w:val="24"/>
          <w:lang w:eastAsia="en-US"/>
        </w:rPr>
        <w:t>a)</w:t>
      </w:r>
      <w:r w:rsidRPr="00F15E20">
        <w:rPr>
          <w:rFonts w:cs="Arial"/>
          <w:szCs w:val="24"/>
          <w:lang w:eastAsia="en-US"/>
        </w:rPr>
        <w:tab/>
        <w:t>To ensure the security of the principal sums invested which represent the County Council's various reserves and balances</w:t>
      </w:r>
      <w:r w:rsidR="00957CF9">
        <w:rPr>
          <w:rFonts w:cs="Arial"/>
          <w:szCs w:val="24"/>
          <w:lang w:eastAsia="en-US"/>
        </w:rPr>
        <w:t>;</w:t>
      </w:r>
    </w:p>
    <w:p w:rsidR="007B75FD" w:rsidRPr="00F15E20" w:rsidRDefault="008725D6" w:rsidP="00931724">
      <w:pPr>
        <w:ind w:left="426" w:hanging="426"/>
        <w:jc w:val="both"/>
        <w:rPr>
          <w:rFonts w:cs="Arial"/>
          <w:szCs w:val="24"/>
          <w:lang w:eastAsia="en-US"/>
        </w:rPr>
      </w:pPr>
      <w:r w:rsidRPr="00F15E20">
        <w:rPr>
          <w:rFonts w:cs="Arial"/>
          <w:szCs w:val="24"/>
          <w:lang w:eastAsia="en-US"/>
        </w:rPr>
        <w:t>b)</w:t>
      </w:r>
      <w:r w:rsidRPr="00F15E20">
        <w:rPr>
          <w:rFonts w:cs="Arial"/>
          <w:szCs w:val="24"/>
          <w:lang w:eastAsia="en-US"/>
        </w:rPr>
        <w:tab/>
        <w:t>To ensure that the County Council has access to cash resources as and when required</w:t>
      </w:r>
      <w:r w:rsidR="00957CF9">
        <w:rPr>
          <w:rFonts w:cs="Arial"/>
          <w:szCs w:val="24"/>
          <w:lang w:eastAsia="en-US"/>
        </w:rPr>
        <w:t>;</w:t>
      </w:r>
    </w:p>
    <w:p w:rsidR="007B75FD" w:rsidRPr="00F15E20" w:rsidRDefault="008725D6" w:rsidP="00931724">
      <w:pPr>
        <w:ind w:left="426" w:hanging="426"/>
        <w:jc w:val="both"/>
        <w:rPr>
          <w:rFonts w:cs="Arial"/>
          <w:szCs w:val="24"/>
          <w:lang w:eastAsia="en-US"/>
        </w:rPr>
      </w:pPr>
      <w:r w:rsidRPr="00F15E20">
        <w:rPr>
          <w:rFonts w:cs="Arial"/>
          <w:szCs w:val="24"/>
          <w:lang w:eastAsia="en-US"/>
        </w:rPr>
        <w:t>c)</w:t>
      </w:r>
      <w:r w:rsidRPr="00F15E20">
        <w:rPr>
          <w:rFonts w:cs="Arial"/>
          <w:szCs w:val="24"/>
          <w:lang w:eastAsia="en-US"/>
        </w:rPr>
        <w:tab/>
        <w:t>To minimise the cost of the borrowing required to finance the County Council's capital investment programme</w:t>
      </w:r>
      <w:r w:rsidR="00957CF9">
        <w:rPr>
          <w:rFonts w:cs="Arial"/>
          <w:szCs w:val="24"/>
          <w:lang w:eastAsia="en-US"/>
        </w:rPr>
        <w:t>;</w:t>
      </w:r>
      <w:r w:rsidRPr="00F15E20">
        <w:rPr>
          <w:rFonts w:cs="Arial"/>
          <w:szCs w:val="24"/>
          <w:lang w:eastAsia="en-US"/>
        </w:rPr>
        <w:t xml:space="preserve"> and</w:t>
      </w:r>
    </w:p>
    <w:p w:rsidR="00CB1623" w:rsidRPr="00F15E20" w:rsidRDefault="008725D6" w:rsidP="00931724">
      <w:pPr>
        <w:ind w:left="426" w:hanging="426"/>
        <w:jc w:val="both"/>
        <w:rPr>
          <w:rFonts w:cs="Arial"/>
          <w:szCs w:val="24"/>
        </w:rPr>
      </w:pPr>
      <w:r w:rsidRPr="00F15E20">
        <w:rPr>
          <w:rFonts w:cs="Arial"/>
          <w:szCs w:val="24"/>
          <w:lang w:eastAsia="en-US"/>
        </w:rPr>
        <w:t>d)</w:t>
      </w:r>
      <w:r w:rsidRPr="00F15E20">
        <w:rPr>
          <w:rFonts w:cs="Arial"/>
          <w:szCs w:val="24"/>
          <w:lang w:eastAsia="en-US"/>
        </w:rPr>
        <w:tab/>
        <w:t>To maximise investment returns commensurate with the County Council's policy of minimising risks to the security of capital and its liquidity position.</w:t>
      </w:r>
    </w:p>
    <w:p w:rsidR="00CB1623" w:rsidRPr="00F15E20" w:rsidRDefault="005E5354" w:rsidP="00931724">
      <w:pPr>
        <w:jc w:val="both"/>
        <w:rPr>
          <w:rFonts w:cs="Arial"/>
          <w:b/>
          <w:szCs w:val="24"/>
        </w:rPr>
      </w:pPr>
    </w:p>
    <w:p w:rsidR="0071182D" w:rsidRPr="00F15E20" w:rsidRDefault="008725D6" w:rsidP="00041284">
      <w:pPr>
        <w:pStyle w:val="ListParagraph"/>
        <w:spacing w:after="0"/>
        <w:ind w:left="0"/>
        <w:jc w:val="both"/>
        <w:rPr>
          <w:rFonts w:cs="Arial"/>
          <w:b/>
          <w:szCs w:val="24"/>
        </w:rPr>
      </w:pPr>
      <w:r w:rsidRPr="00F15E20">
        <w:rPr>
          <w:rFonts w:cs="Arial"/>
          <w:b/>
          <w:szCs w:val="24"/>
        </w:rPr>
        <w:t>3.1</w:t>
      </w:r>
      <w:r w:rsidRPr="00F15E20">
        <w:rPr>
          <w:rFonts w:cs="Arial"/>
          <w:b/>
          <w:szCs w:val="24"/>
        </w:rPr>
        <w:tab/>
        <w:t>Investment Activity</w:t>
      </w:r>
    </w:p>
    <w:p w:rsidR="00792B52" w:rsidRPr="00A412DE" w:rsidRDefault="005E5354" w:rsidP="00041284">
      <w:pPr>
        <w:pStyle w:val="ListParagraph"/>
        <w:spacing w:line="240" w:lineRule="auto"/>
        <w:ind w:left="0"/>
        <w:jc w:val="both"/>
        <w:rPr>
          <w:rFonts w:cs="Arial"/>
          <w:b/>
          <w:szCs w:val="24"/>
          <w:highlight w:val="yellow"/>
        </w:rPr>
      </w:pPr>
    </w:p>
    <w:p w:rsidR="00F37AA3" w:rsidRPr="000C5DB4" w:rsidRDefault="008725D6" w:rsidP="00041284">
      <w:pPr>
        <w:pStyle w:val="ListParagraph"/>
        <w:spacing w:after="0" w:line="240" w:lineRule="auto"/>
        <w:ind w:left="0"/>
        <w:jc w:val="both"/>
        <w:rPr>
          <w:rFonts w:cs="Arial"/>
          <w:szCs w:val="24"/>
        </w:rPr>
      </w:pPr>
      <w:r w:rsidRPr="000C5DB4">
        <w:rPr>
          <w:rFonts w:cs="Arial"/>
          <w:szCs w:val="24"/>
        </w:rPr>
        <w:t>Investments at the 3</w:t>
      </w:r>
      <w:r w:rsidR="00A412DE" w:rsidRPr="000C5DB4">
        <w:rPr>
          <w:rFonts w:cs="Arial"/>
          <w:szCs w:val="24"/>
        </w:rPr>
        <w:t>0</w:t>
      </w:r>
      <w:r w:rsidR="00A412DE" w:rsidRPr="000C5DB4">
        <w:rPr>
          <w:rFonts w:cs="Arial"/>
          <w:szCs w:val="24"/>
          <w:vertAlign w:val="superscript"/>
        </w:rPr>
        <w:t>th</w:t>
      </w:r>
      <w:r w:rsidR="00A412DE" w:rsidRPr="000C5DB4">
        <w:rPr>
          <w:rFonts w:cs="Arial"/>
          <w:szCs w:val="24"/>
        </w:rPr>
        <w:t xml:space="preserve"> November</w:t>
      </w:r>
      <w:r w:rsidRPr="000C5DB4">
        <w:rPr>
          <w:rFonts w:cs="Arial"/>
          <w:szCs w:val="24"/>
        </w:rPr>
        <w:t xml:space="preserve"> are £</w:t>
      </w:r>
      <w:r w:rsidR="00A412DE" w:rsidRPr="000C5DB4">
        <w:rPr>
          <w:rFonts w:cs="Arial"/>
          <w:szCs w:val="24"/>
        </w:rPr>
        <w:t>572.41</w:t>
      </w:r>
      <w:r w:rsidR="00C70AAC">
        <w:rPr>
          <w:rFonts w:cs="Arial"/>
          <w:szCs w:val="24"/>
        </w:rPr>
        <w:t>m</w:t>
      </w:r>
      <w:r w:rsidRPr="000C5DB4">
        <w:rPr>
          <w:rFonts w:cs="Arial"/>
          <w:szCs w:val="24"/>
        </w:rPr>
        <w:t xml:space="preserve"> consisting of £</w:t>
      </w:r>
      <w:r w:rsidR="00A412DE" w:rsidRPr="000C5DB4">
        <w:rPr>
          <w:rFonts w:cs="Arial"/>
          <w:szCs w:val="24"/>
        </w:rPr>
        <w:t>91.82m</w:t>
      </w:r>
      <w:r w:rsidRPr="000C5DB4">
        <w:rPr>
          <w:rFonts w:cs="Arial"/>
          <w:szCs w:val="24"/>
        </w:rPr>
        <w:t xml:space="preserve"> in bank and Loc</w:t>
      </w:r>
      <w:r w:rsidR="00F15E20" w:rsidRPr="000C5DB4">
        <w:rPr>
          <w:rFonts w:cs="Arial"/>
          <w:szCs w:val="24"/>
        </w:rPr>
        <w:t>al Authority deposits and £480.59</w:t>
      </w:r>
      <w:r w:rsidRPr="000C5DB4">
        <w:rPr>
          <w:rFonts w:cs="Arial"/>
          <w:szCs w:val="24"/>
        </w:rPr>
        <w:t>m in bon</w:t>
      </w:r>
      <w:r w:rsidR="00F15E20" w:rsidRPr="000C5DB4">
        <w:rPr>
          <w:rFonts w:cs="Arial"/>
          <w:szCs w:val="24"/>
        </w:rPr>
        <w:t>ds. In total investments have decreased by £42.14</w:t>
      </w:r>
      <w:r w:rsidRPr="000C5DB4">
        <w:rPr>
          <w:rFonts w:cs="Arial"/>
          <w:szCs w:val="24"/>
        </w:rPr>
        <w:t>m over the period</w:t>
      </w:r>
      <w:r w:rsidR="0019395F">
        <w:rPr>
          <w:rFonts w:cs="Arial"/>
          <w:szCs w:val="24"/>
        </w:rPr>
        <w:t xml:space="preserve">. </w:t>
      </w:r>
      <w:r w:rsidRPr="000C5DB4">
        <w:rPr>
          <w:rFonts w:cs="Arial"/>
          <w:szCs w:val="24"/>
        </w:rPr>
        <w:t>The table below shows the investment activity between 1</w:t>
      </w:r>
      <w:r w:rsidRPr="000C5DB4">
        <w:rPr>
          <w:rFonts w:cs="Arial"/>
          <w:szCs w:val="24"/>
          <w:vertAlign w:val="superscript"/>
        </w:rPr>
        <w:t>st</w:t>
      </w:r>
      <w:r w:rsidRPr="000C5DB4">
        <w:rPr>
          <w:rFonts w:cs="Arial"/>
          <w:szCs w:val="24"/>
        </w:rPr>
        <w:t xml:space="preserve"> A</w:t>
      </w:r>
      <w:r w:rsidR="00F15E20" w:rsidRPr="000C5DB4">
        <w:rPr>
          <w:rFonts w:cs="Arial"/>
          <w:szCs w:val="24"/>
        </w:rPr>
        <w:t>ugust 2016 and 30</w:t>
      </w:r>
      <w:r w:rsidR="00F15E20" w:rsidRPr="000C5DB4">
        <w:rPr>
          <w:rFonts w:cs="Arial"/>
          <w:szCs w:val="24"/>
          <w:vertAlign w:val="superscript"/>
        </w:rPr>
        <w:t>th</w:t>
      </w:r>
      <w:r w:rsidR="00F15E20" w:rsidRPr="000C5DB4">
        <w:rPr>
          <w:rFonts w:cs="Arial"/>
          <w:szCs w:val="24"/>
        </w:rPr>
        <w:t xml:space="preserve"> November</w:t>
      </w:r>
      <w:r w:rsidRPr="000C5DB4">
        <w:rPr>
          <w:rFonts w:cs="Arial"/>
          <w:szCs w:val="24"/>
        </w:rPr>
        <w:t xml:space="preserve"> 2016.</w:t>
      </w:r>
    </w:p>
    <w:p w:rsidR="005D2A27" w:rsidRPr="00A412DE" w:rsidRDefault="005E5354" w:rsidP="00041284">
      <w:pPr>
        <w:pStyle w:val="ListParagraph"/>
        <w:spacing w:after="0" w:line="240" w:lineRule="auto"/>
        <w:ind w:left="0"/>
        <w:jc w:val="both"/>
        <w:rPr>
          <w:rFonts w:cs="Arial"/>
          <w:szCs w:val="24"/>
          <w:highlight w:val="yellow"/>
        </w:rPr>
      </w:pPr>
    </w:p>
    <w:p w:rsidR="005D2A27" w:rsidRPr="00A412DE" w:rsidRDefault="005E5354" w:rsidP="00041284">
      <w:pPr>
        <w:pStyle w:val="ListParagraph"/>
        <w:spacing w:after="0" w:line="240" w:lineRule="auto"/>
        <w:ind w:left="0"/>
        <w:jc w:val="both"/>
        <w:rPr>
          <w:rFonts w:cs="Arial"/>
          <w:szCs w:val="24"/>
          <w:highlight w:val="yellow"/>
        </w:rPr>
      </w:pPr>
    </w:p>
    <w:tbl>
      <w:tblPr>
        <w:tblW w:w="9260" w:type="dxa"/>
        <w:tblLook w:val="04A0" w:firstRow="1" w:lastRow="0" w:firstColumn="1" w:lastColumn="0" w:noHBand="0" w:noVBand="1"/>
      </w:tblPr>
      <w:tblGrid>
        <w:gridCol w:w="3640"/>
        <w:gridCol w:w="1540"/>
        <w:gridCol w:w="1300"/>
        <w:gridCol w:w="1440"/>
        <w:gridCol w:w="1340"/>
      </w:tblGrid>
      <w:tr w:rsidR="0084613D" w:rsidRPr="0084613D" w:rsidTr="0084613D">
        <w:trPr>
          <w:trHeight w:val="315"/>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rsidR="0084613D" w:rsidRPr="0084613D" w:rsidRDefault="0084613D" w:rsidP="0084613D">
            <w:pPr>
              <w:rPr>
                <w:rFonts w:cs="Arial"/>
                <w:b/>
                <w:bCs/>
                <w:color w:val="000000"/>
                <w:szCs w:val="24"/>
              </w:rPr>
            </w:pPr>
            <w:r w:rsidRPr="0084613D">
              <w:rPr>
                <w:rFonts w:cs="Arial"/>
                <w:b/>
                <w:bCs/>
                <w:color w:val="000000"/>
                <w:szCs w:val="24"/>
              </w:rPr>
              <w:t xml:space="preserve">Bank and Local Authority </w:t>
            </w:r>
          </w:p>
        </w:tc>
        <w:tc>
          <w:tcPr>
            <w:tcW w:w="1540" w:type="dxa"/>
            <w:tcBorders>
              <w:top w:val="single" w:sz="4" w:space="0" w:color="auto"/>
              <w:left w:val="nil"/>
              <w:bottom w:val="nil"/>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Call/MMF</w:t>
            </w:r>
          </w:p>
        </w:tc>
        <w:tc>
          <w:tcPr>
            <w:tcW w:w="1300" w:type="dxa"/>
            <w:tcBorders>
              <w:top w:val="single" w:sz="4" w:space="0" w:color="auto"/>
              <w:left w:val="nil"/>
              <w:bottom w:val="nil"/>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Fixed</w:t>
            </w:r>
          </w:p>
        </w:tc>
        <w:tc>
          <w:tcPr>
            <w:tcW w:w="1440" w:type="dxa"/>
            <w:tcBorders>
              <w:top w:val="single" w:sz="4" w:space="0" w:color="auto"/>
              <w:left w:val="nil"/>
              <w:bottom w:val="nil"/>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 xml:space="preserve">  Structured</w:t>
            </w:r>
          </w:p>
        </w:tc>
        <w:tc>
          <w:tcPr>
            <w:tcW w:w="1340" w:type="dxa"/>
            <w:tcBorders>
              <w:top w:val="single" w:sz="4" w:space="0" w:color="auto"/>
              <w:left w:val="nil"/>
              <w:bottom w:val="nil"/>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 xml:space="preserve">     Total </w:t>
            </w:r>
          </w:p>
        </w:tc>
      </w:tr>
      <w:tr w:rsidR="0084613D" w:rsidRPr="0084613D" w:rsidTr="0084613D">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84613D" w:rsidRPr="0084613D" w:rsidRDefault="0084613D" w:rsidP="0084613D">
            <w:pPr>
              <w:jc w:val="both"/>
              <w:rPr>
                <w:rFonts w:cs="Arial"/>
                <w:b/>
                <w:bCs/>
                <w:color w:val="000000"/>
                <w:szCs w:val="24"/>
              </w:rPr>
            </w:pPr>
            <w:r w:rsidRPr="0084613D">
              <w:rPr>
                <w:rFonts w:cs="Arial"/>
                <w:b/>
                <w:bCs/>
                <w:color w:val="000000"/>
                <w:szCs w:val="24"/>
              </w:rPr>
              <w:t>Deposits</w:t>
            </w:r>
          </w:p>
        </w:tc>
        <w:tc>
          <w:tcPr>
            <w:tcW w:w="154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r>
      <w:tr w:rsidR="0084613D" w:rsidRPr="0084613D" w:rsidTr="0084613D">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84613D" w:rsidRPr="0084613D" w:rsidRDefault="0084613D" w:rsidP="0084613D">
            <w:pPr>
              <w:jc w:val="both"/>
              <w:rPr>
                <w:rFonts w:cs="Arial"/>
                <w:b/>
                <w:bCs/>
                <w:color w:val="000000"/>
                <w:szCs w:val="24"/>
              </w:rPr>
            </w:pPr>
            <w:r w:rsidRPr="0084613D">
              <w:rPr>
                <w:rFonts w:cs="Arial"/>
                <w:b/>
                <w:bCs/>
                <w:color w:val="000000"/>
                <w:szCs w:val="24"/>
              </w:rPr>
              <w:t>Balance 1 August 2016</w:t>
            </w:r>
          </w:p>
        </w:tc>
        <w:tc>
          <w:tcPr>
            <w:tcW w:w="15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71.81</w:t>
            </w:r>
          </w:p>
        </w:tc>
        <w:tc>
          <w:tcPr>
            <w:tcW w:w="130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56.50</w:t>
            </w:r>
          </w:p>
        </w:tc>
        <w:tc>
          <w:tcPr>
            <w:tcW w:w="14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0.00</w:t>
            </w:r>
          </w:p>
        </w:tc>
        <w:tc>
          <w:tcPr>
            <w:tcW w:w="13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128.31</w:t>
            </w:r>
          </w:p>
        </w:tc>
      </w:tr>
      <w:tr w:rsidR="0084613D" w:rsidRPr="0084613D" w:rsidTr="0084613D">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84613D" w:rsidRPr="0084613D" w:rsidRDefault="0084613D" w:rsidP="0084613D">
            <w:pPr>
              <w:jc w:val="both"/>
              <w:rPr>
                <w:rFonts w:cs="Arial"/>
                <w:color w:val="000000"/>
                <w:szCs w:val="24"/>
              </w:rPr>
            </w:pPr>
            <w:r w:rsidRPr="0084613D">
              <w:rPr>
                <w:rFonts w:cs="Arial"/>
                <w:color w:val="000000"/>
                <w:szCs w:val="24"/>
              </w:rPr>
              <w:t>Maturities</w:t>
            </w:r>
          </w:p>
        </w:tc>
        <w:tc>
          <w:tcPr>
            <w:tcW w:w="15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-101.85</w:t>
            </w:r>
          </w:p>
        </w:tc>
        <w:tc>
          <w:tcPr>
            <w:tcW w:w="130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-10.00</w:t>
            </w:r>
          </w:p>
        </w:tc>
        <w:tc>
          <w:tcPr>
            <w:tcW w:w="14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0.00</w:t>
            </w:r>
          </w:p>
        </w:tc>
        <w:tc>
          <w:tcPr>
            <w:tcW w:w="13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-111.85</w:t>
            </w:r>
          </w:p>
        </w:tc>
      </w:tr>
      <w:tr w:rsidR="0084613D" w:rsidRPr="0084613D" w:rsidTr="0084613D">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84613D" w:rsidRPr="0084613D" w:rsidRDefault="0084613D" w:rsidP="0084613D">
            <w:pPr>
              <w:jc w:val="both"/>
              <w:rPr>
                <w:rFonts w:cs="Arial"/>
                <w:color w:val="000000"/>
                <w:szCs w:val="24"/>
              </w:rPr>
            </w:pPr>
            <w:r w:rsidRPr="0084613D">
              <w:rPr>
                <w:rFonts w:cs="Arial"/>
                <w:color w:val="000000"/>
                <w:szCs w:val="24"/>
              </w:rPr>
              <w:t>New Investments</w:t>
            </w:r>
          </w:p>
        </w:tc>
        <w:tc>
          <w:tcPr>
            <w:tcW w:w="15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75.37</w:t>
            </w:r>
          </w:p>
        </w:tc>
        <w:tc>
          <w:tcPr>
            <w:tcW w:w="130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0.00</w:t>
            </w:r>
          </w:p>
        </w:tc>
        <w:tc>
          <w:tcPr>
            <w:tcW w:w="14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0.00</w:t>
            </w:r>
          </w:p>
        </w:tc>
        <w:tc>
          <w:tcPr>
            <w:tcW w:w="13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75.37</w:t>
            </w:r>
          </w:p>
        </w:tc>
      </w:tr>
      <w:tr w:rsidR="0084613D" w:rsidRPr="0084613D" w:rsidTr="0084613D">
        <w:trPr>
          <w:trHeight w:val="315"/>
        </w:trPr>
        <w:tc>
          <w:tcPr>
            <w:tcW w:w="3640" w:type="dxa"/>
            <w:tcBorders>
              <w:top w:val="nil"/>
              <w:left w:val="single" w:sz="4" w:space="0" w:color="auto"/>
              <w:bottom w:val="nil"/>
              <w:right w:val="single" w:sz="4" w:space="0" w:color="auto"/>
            </w:tcBorders>
            <w:shd w:val="clear" w:color="auto" w:fill="auto"/>
            <w:noWrap/>
            <w:vAlign w:val="bottom"/>
            <w:hideMark/>
          </w:tcPr>
          <w:p w:rsidR="0084613D" w:rsidRPr="0084613D" w:rsidRDefault="0084613D" w:rsidP="0084613D">
            <w:pPr>
              <w:rPr>
                <w:rFonts w:ascii="Times New Roman" w:hAnsi="Times New Roman"/>
                <w:color w:val="000000"/>
                <w:szCs w:val="24"/>
              </w:rPr>
            </w:pPr>
            <w:r w:rsidRPr="0084613D">
              <w:rPr>
                <w:rFonts w:ascii="Times New Roman" w:hAnsi="Times New Roman"/>
                <w:color w:val="000000"/>
                <w:szCs w:val="24"/>
              </w:rPr>
              <w:t> </w:t>
            </w:r>
          </w:p>
        </w:tc>
        <w:tc>
          <w:tcPr>
            <w:tcW w:w="1540" w:type="dxa"/>
            <w:tcBorders>
              <w:top w:val="nil"/>
              <w:left w:val="nil"/>
              <w:bottom w:val="nil"/>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c>
          <w:tcPr>
            <w:tcW w:w="1300" w:type="dxa"/>
            <w:tcBorders>
              <w:top w:val="nil"/>
              <w:left w:val="nil"/>
              <w:bottom w:val="nil"/>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c>
          <w:tcPr>
            <w:tcW w:w="1440" w:type="dxa"/>
            <w:tcBorders>
              <w:top w:val="nil"/>
              <w:left w:val="nil"/>
              <w:bottom w:val="nil"/>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c>
          <w:tcPr>
            <w:tcW w:w="1340" w:type="dxa"/>
            <w:tcBorders>
              <w:top w:val="nil"/>
              <w:left w:val="nil"/>
              <w:bottom w:val="nil"/>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r>
      <w:tr w:rsidR="0084613D" w:rsidRPr="0084613D" w:rsidTr="0084613D">
        <w:trPr>
          <w:trHeight w:val="31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13D" w:rsidRPr="0084613D" w:rsidRDefault="0084613D" w:rsidP="0084613D">
            <w:pPr>
              <w:jc w:val="both"/>
              <w:rPr>
                <w:rFonts w:cs="Arial"/>
                <w:b/>
                <w:bCs/>
                <w:color w:val="000000"/>
                <w:szCs w:val="24"/>
              </w:rPr>
            </w:pPr>
            <w:r w:rsidRPr="0084613D">
              <w:rPr>
                <w:rFonts w:cs="Arial"/>
                <w:b/>
                <w:bCs/>
                <w:color w:val="000000"/>
                <w:szCs w:val="24"/>
              </w:rPr>
              <w:t>Balance 30 November 2016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45.32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46.50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91.82</w:t>
            </w:r>
          </w:p>
        </w:tc>
      </w:tr>
      <w:tr w:rsidR="0084613D" w:rsidRPr="0084613D" w:rsidTr="0084613D">
        <w:trPr>
          <w:trHeight w:val="315"/>
        </w:trPr>
        <w:tc>
          <w:tcPr>
            <w:tcW w:w="3640" w:type="dxa"/>
            <w:tcBorders>
              <w:top w:val="nil"/>
              <w:left w:val="single" w:sz="4" w:space="0" w:color="auto"/>
              <w:bottom w:val="nil"/>
              <w:right w:val="single" w:sz="4" w:space="0" w:color="auto"/>
            </w:tcBorders>
            <w:shd w:val="clear" w:color="auto" w:fill="auto"/>
            <w:noWrap/>
            <w:vAlign w:val="center"/>
            <w:hideMark/>
          </w:tcPr>
          <w:p w:rsidR="0084613D" w:rsidRPr="0084613D" w:rsidRDefault="0084613D" w:rsidP="0084613D">
            <w:pPr>
              <w:jc w:val="both"/>
              <w:rPr>
                <w:rFonts w:cs="Arial"/>
                <w:b/>
                <w:bCs/>
                <w:color w:val="000000"/>
                <w:szCs w:val="24"/>
              </w:rPr>
            </w:pPr>
            <w:r w:rsidRPr="0084613D">
              <w:rPr>
                <w:rFonts w:cs="Arial"/>
                <w:b/>
                <w:bCs/>
                <w:color w:val="000000"/>
                <w:szCs w:val="24"/>
              </w:rPr>
              <w:t> </w:t>
            </w:r>
          </w:p>
        </w:tc>
        <w:tc>
          <w:tcPr>
            <w:tcW w:w="15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 </w:t>
            </w:r>
          </w:p>
        </w:tc>
        <w:tc>
          <w:tcPr>
            <w:tcW w:w="130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 </w:t>
            </w:r>
          </w:p>
        </w:tc>
        <w:tc>
          <w:tcPr>
            <w:tcW w:w="14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 </w:t>
            </w:r>
          </w:p>
        </w:tc>
        <w:tc>
          <w:tcPr>
            <w:tcW w:w="13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 </w:t>
            </w:r>
          </w:p>
        </w:tc>
      </w:tr>
      <w:tr w:rsidR="0084613D" w:rsidRPr="0084613D" w:rsidTr="0084613D">
        <w:trPr>
          <w:trHeight w:val="315"/>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rsidR="0084613D" w:rsidRPr="0084613D" w:rsidRDefault="0084613D" w:rsidP="0084613D">
            <w:pPr>
              <w:rPr>
                <w:rFonts w:cs="Arial"/>
                <w:b/>
                <w:bCs/>
                <w:color w:val="000000"/>
                <w:szCs w:val="24"/>
              </w:rPr>
            </w:pPr>
            <w:r w:rsidRPr="0084613D">
              <w:rPr>
                <w:rFonts w:cs="Arial"/>
                <w:b/>
                <w:bCs/>
                <w:color w:val="000000"/>
                <w:szCs w:val="24"/>
              </w:rPr>
              <w:t>Bonds</w:t>
            </w:r>
          </w:p>
        </w:tc>
        <w:tc>
          <w:tcPr>
            <w:tcW w:w="1540" w:type="dxa"/>
            <w:tcBorders>
              <w:top w:val="single" w:sz="4" w:space="0" w:color="auto"/>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LA Bonds</w:t>
            </w:r>
          </w:p>
        </w:tc>
        <w:tc>
          <w:tcPr>
            <w:tcW w:w="1300" w:type="dxa"/>
            <w:tcBorders>
              <w:top w:val="single" w:sz="4" w:space="0" w:color="auto"/>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Gilts</w:t>
            </w:r>
          </w:p>
        </w:tc>
        <w:tc>
          <w:tcPr>
            <w:tcW w:w="1440" w:type="dxa"/>
            <w:tcBorders>
              <w:top w:val="single" w:sz="4" w:space="0" w:color="auto"/>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Others</w:t>
            </w:r>
          </w:p>
        </w:tc>
        <w:tc>
          <w:tcPr>
            <w:tcW w:w="1340" w:type="dxa"/>
            <w:tcBorders>
              <w:top w:val="single" w:sz="4" w:space="0" w:color="auto"/>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 xml:space="preserve">Total </w:t>
            </w:r>
          </w:p>
        </w:tc>
      </w:tr>
      <w:tr w:rsidR="0084613D" w:rsidRPr="0084613D" w:rsidTr="0084613D">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613D" w:rsidRPr="0084613D" w:rsidRDefault="0084613D" w:rsidP="0084613D">
            <w:pPr>
              <w:rPr>
                <w:rFonts w:ascii="Times New Roman" w:hAnsi="Times New Roman"/>
                <w:color w:val="000000"/>
                <w:szCs w:val="24"/>
              </w:rPr>
            </w:pPr>
            <w:r w:rsidRPr="0084613D">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£m</w:t>
            </w:r>
          </w:p>
        </w:tc>
      </w:tr>
      <w:tr w:rsidR="0084613D" w:rsidRPr="0084613D" w:rsidTr="0084613D">
        <w:trPr>
          <w:trHeight w:val="315"/>
        </w:trPr>
        <w:tc>
          <w:tcPr>
            <w:tcW w:w="3640" w:type="dxa"/>
            <w:tcBorders>
              <w:top w:val="nil"/>
              <w:left w:val="single" w:sz="4" w:space="0" w:color="auto"/>
              <w:bottom w:val="nil"/>
              <w:right w:val="single" w:sz="4" w:space="0" w:color="auto"/>
            </w:tcBorders>
            <w:shd w:val="clear" w:color="auto" w:fill="auto"/>
            <w:noWrap/>
            <w:vAlign w:val="center"/>
            <w:hideMark/>
          </w:tcPr>
          <w:p w:rsidR="0084613D" w:rsidRPr="0084613D" w:rsidRDefault="0084613D" w:rsidP="0084613D">
            <w:pPr>
              <w:jc w:val="both"/>
              <w:rPr>
                <w:rFonts w:cs="Arial"/>
                <w:b/>
                <w:bCs/>
                <w:color w:val="000000"/>
                <w:szCs w:val="24"/>
              </w:rPr>
            </w:pPr>
            <w:r w:rsidRPr="0084613D">
              <w:rPr>
                <w:rFonts w:cs="Arial"/>
                <w:b/>
                <w:bCs/>
                <w:color w:val="000000"/>
                <w:szCs w:val="24"/>
              </w:rPr>
              <w:t>Balance 1 August 2016</w:t>
            </w:r>
          </w:p>
        </w:tc>
        <w:tc>
          <w:tcPr>
            <w:tcW w:w="15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35.83</w:t>
            </w:r>
          </w:p>
        </w:tc>
        <w:tc>
          <w:tcPr>
            <w:tcW w:w="130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82.71</w:t>
            </w:r>
          </w:p>
        </w:tc>
        <w:tc>
          <w:tcPr>
            <w:tcW w:w="14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367.70</w:t>
            </w:r>
          </w:p>
        </w:tc>
        <w:tc>
          <w:tcPr>
            <w:tcW w:w="13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486.24</w:t>
            </w:r>
          </w:p>
        </w:tc>
      </w:tr>
      <w:tr w:rsidR="0084613D" w:rsidRPr="0084613D" w:rsidTr="0084613D">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84613D" w:rsidRPr="0084613D" w:rsidRDefault="0084613D" w:rsidP="0084613D">
            <w:pPr>
              <w:jc w:val="both"/>
              <w:rPr>
                <w:rFonts w:cs="Arial"/>
                <w:color w:val="000000"/>
                <w:szCs w:val="24"/>
              </w:rPr>
            </w:pPr>
            <w:r w:rsidRPr="0084613D">
              <w:rPr>
                <w:rFonts w:cs="Arial"/>
                <w:color w:val="000000"/>
                <w:szCs w:val="24"/>
              </w:rPr>
              <w:t>Maturities</w:t>
            </w:r>
          </w:p>
        </w:tc>
        <w:tc>
          <w:tcPr>
            <w:tcW w:w="15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-0.34</w:t>
            </w:r>
          </w:p>
        </w:tc>
        <w:tc>
          <w:tcPr>
            <w:tcW w:w="130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-1,268.80</w:t>
            </w:r>
          </w:p>
        </w:tc>
        <w:tc>
          <w:tcPr>
            <w:tcW w:w="14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-575.98</w:t>
            </w:r>
          </w:p>
        </w:tc>
        <w:tc>
          <w:tcPr>
            <w:tcW w:w="13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-1,845.12</w:t>
            </w:r>
          </w:p>
        </w:tc>
      </w:tr>
      <w:tr w:rsidR="0084613D" w:rsidRPr="0084613D" w:rsidTr="0084613D">
        <w:trPr>
          <w:trHeight w:val="300"/>
        </w:trPr>
        <w:tc>
          <w:tcPr>
            <w:tcW w:w="3640" w:type="dxa"/>
            <w:tcBorders>
              <w:top w:val="nil"/>
              <w:left w:val="single" w:sz="4" w:space="0" w:color="auto"/>
              <w:bottom w:val="nil"/>
              <w:right w:val="single" w:sz="4" w:space="0" w:color="auto"/>
            </w:tcBorders>
            <w:shd w:val="clear" w:color="auto" w:fill="auto"/>
            <w:noWrap/>
            <w:vAlign w:val="center"/>
            <w:hideMark/>
          </w:tcPr>
          <w:p w:rsidR="0084613D" w:rsidRPr="0084613D" w:rsidRDefault="0084613D" w:rsidP="0084613D">
            <w:pPr>
              <w:jc w:val="both"/>
              <w:rPr>
                <w:rFonts w:cs="Arial"/>
                <w:color w:val="000000"/>
                <w:szCs w:val="24"/>
              </w:rPr>
            </w:pPr>
            <w:r w:rsidRPr="0084613D">
              <w:rPr>
                <w:rFonts w:cs="Arial"/>
                <w:color w:val="000000"/>
                <w:szCs w:val="24"/>
              </w:rPr>
              <w:t>New Investments</w:t>
            </w:r>
          </w:p>
        </w:tc>
        <w:tc>
          <w:tcPr>
            <w:tcW w:w="15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0.27</w:t>
            </w:r>
          </w:p>
        </w:tc>
        <w:tc>
          <w:tcPr>
            <w:tcW w:w="130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1,462.30</w:t>
            </w:r>
          </w:p>
        </w:tc>
        <w:tc>
          <w:tcPr>
            <w:tcW w:w="14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376.90</w:t>
            </w:r>
          </w:p>
        </w:tc>
        <w:tc>
          <w:tcPr>
            <w:tcW w:w="1340" w:type="dxa"/>
            <w:tcBorders>
              <w:top w:val="nil"/>
              <w:left w:val="nil"/>
              <w:bottom w:val="nil"/>
              <w:right w:val="single" w:sz="4" w:space="0" w:color="auto"/>
            </w:tcBorders>
            <w:shd w:val="clear" w:color="auto" w:fill="auto"/>
            <w:noWrap/>
            <w:vAlign w:val="center"/>
            <w:hideMark/>
          </w:tcPr>
          <w:p w:rsidR="0084613D" w:rsidRPr="0084613D" w:rsidRDefault="0084613D" w:rsidP="0084613D">
            <w:pPr>
              <w:jc w:val="center"/>
              <w:rPr>
                <w:rFonts w:cs="Arial"/>
                <w:color w:val="000000"/>
                <w:szCs w:val="24"/>
              </w:rPr>
            </w:pPr>
            <w:r w:rsidRPr="0084613D">
              <w:rPr>
                <w:rFonts w:cs="Arial"/>
                <w:color w:val="000000"/>
                <w:szCs w:val="24"/>
              </w:rPr>
              <w:t>1,839.46</w:t>
            </w:r>
          </w:p>
        </w:tc>
      </w:tr>
      <w:tr w:rsidR="0084613D" w:rsidRPr="0084613D" w:rsidTr="0084613D">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613D" w:rsidRPr="0084613D" w:rsidRDefault="0084613D" w:rsidP="0084613D">
            <w:pPr>
              <w:rPr>
                <w:rFonts w:ascii="Times New Roman" w:hAnsi="Times New Roman"/>
                <w:color w:val="000000"/>
                <w:szCs w:val="24"/>
              </w:rPr>
            </w:pPr>
            <w:r w:rsidRPr="0084613D">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84613D" w:rsidRPr="0084613D" w:rsidRDefault="0084613D" w:rsidP="0084613D">
            <w:pPr>
              <w:jc w:val="center"/>
              <w:rPr>
                <w:rFonts w:ascii="Times New Roman" w:hAnsi="Times New Roman"/>
                <w:color w:val="000000"/>
                <w:szCs w:val="24"/>
              </w:rPr>
            </w:pPr>
            <w:r w:rsidRPr="0084613D">
              <w:rPr>
                <w:rFonts w:ascii="Times New Roman" w:hAnsi="Times New Roman"/>
                <w:color w:val="000000"/>
                <w:szCs w:val="24"/>
              </w:rPr>
              <w:t> </w:t>
            </w:r>
          </w:p>
        </w:tc>
      </w:tr>
      <w:tr w:rsidR="0084613D" w:rsidRPr="0084613D" w:rsidTr="0084613D">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84613D" w:rsidRPr="0084613D" w:rsidRDefault="0084613D" w:rsidP="0084613D">
            <w:pPr>
              <w:jc w:val="both"/>
              <w:rPr>
                <w:rFonts w:cs="Arial"/>
                <w:b/>
                <w:bCs/>
                <w:color w:val="000000"/>
                <w:szCs w:val="24"/>
              </w:rPr>
            </w:pPr>
            <w:r w:rsidRPr="0084613D">
              <w:rPr>
                <w:rFonts w:cs="Arial"/>
                <w:b/>
                <w:bCs/>
                <w:color w:val="000000"/>
                <w:szCs w:val="24"/>
              </w:rPr>
              <w:t>Balance 30 November 2016</w:t>
            </w:r>
          </w:p>
        </w:tc>
        <w:tc>
          <w:tcPr>
            <w:tcW w:w="15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35.76</w:t>
            </w:r>
          </w:p>
        </w:tc>
        <w:tc>
          <w:tcPr>
            <w:tcW w:w="130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276.22</w:t>
            </w:r>
          </w:p>
        </w:tc>
        <w:tc>
          <w:tcPr>
            <w:tcW w:w="14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168.61</w:t>
            </w:r>
          </w:p>
        </w:tc>
        <w:tc>
          <w:tcPr>
            <w:tcW w:w="1340" w:type="dxa"/>
            <w:tcBorders>
              <w:top w:val="nil"/>
              <w:left w:val="nil"/>
              <w:bottom w:val="single" w:sz="4" w:space="0" w:color="auto"/>
              <w:right w:val="single" w:sz="4" w:space="0" w:color="auto"/>
            </w:tcBorders>
            <w:shd w:val="clear" w:color="auto" w:fill="auto"/>
            <w:noWrap/>
            <w:vAlign w:val="center"/>
            <w:hideMark/>
          </w:tcPr>
          <w:p w:rsidR="0084613D" w:rsidRPr="0084613D" w:rsidRDefault="0084613D" w:rsidP="0084613D">
            <w:pPr>
              <w:jc w:val="center"/>
              <w:rPr>
                <w:rFonts w:cs="Arial"/>
                <w:b/>
                <w:bCs/>
                <w:color w:val="000000"/>
                <w:szCs w:val="24"/>
              </w:rPr>
            </w:pPr>
            <w:r w:rsidRPr="0084613D">
              <w:rPr>
                <w:rFonts w:cs="Arial"/>
                <w:b/>
                <w:bCs/>
                <w:color w:val="000000"/>
                <w:szCs w:val="24"/>
              </w:rPr>
              <w:t>480.59</w:t>
            </w:r>
          </w:p>
        </w:tc>
      </w:tr>
    </w:tbl>
    <w:p w:rsidR="00957CF9" w:rsidRPr="00A412DE" w:rsidRDefault="00957CF9" w:rsidP="00041284">
      <w:pPr>
        <w:pStyle w:val="ListParagraph"/>
        <w:spacing w:after="0" w:line="240" w:lineRule="auto"/>
        <w:ind w:left="0"/>
        <w:jc w:val="both"/>
        <w:rPr>
          <w:rFonts w:cs="Arial"/>
          <w:szCs w:val="24"/>
          <w:highlight w:val="yellow"/>
        </w:rPr>
      </w:pPr>
    </w:p>
    <w:p w:rsidR="00094ADE" w:rsidRPr="00A412DE" w:rsidRDefault="005E5354" w:rsidP="00041284">
      <w:pPr>
        <w:pStyle w:val="ListParagraph"/>
        <w:spacing w:after="0" w:line="240" w:lineRule="auto"/>
        <w:ind w:left="0"/>
        <w:jc w:val="both"/>
        <w:rPr>
          <w:rFonts w:cs="Arial"/>
          <w:szCs w:val="24"/>
          <w:highlight w:val="yellow"/>
        </w:rPr>
      </w:pPr>
    </w:p>
    <w:p w:rsidR="00CF296C" w:rsidRPr="000C5DB4" w:rsidRDefault="008725D6" w:rsidP="00931724">
      <w:pPr>
        <w:jc w:val="both"/>
        <w:rPr>
          <w:rFonts w:cs="Arial"/>
          <w:szCs w:val="24"/>
        </w:rPr>
      </w:pPr>
      <w:r w:rsidRPr="000C5DB4">
        <w:rPr>
          <w:rFonts w:cs="Arial"/>
          <w:color w:val="000000"/>
          <w:szCs w:val="24"/>
        </w:rPr>
        <w:t>Within the period, there has been a</w:t>
      </w:r>
      <w:r w:rsidR="00F15E20" w:rsidRPr="000C5DB4">
        <w:rPr>
          <w:rFonts w:cs="Arial"/>
          <w:color w:val="000000"/>
          <w:szCs w:val="24"/>
        </w:rPr>
        <w:t>n</w:t>
      </w:r>
      <w:r w:rsidRPr="000C5DB4">
        <w:rPr>
          <w:rFonts w:cs="Arial"/>
          <w:color w:val="000000"/>
          <w:szCs w:val="24"/>
        </w:rPr>
        <w:t xml:space="preserve"> </w:t>
      </w:r>
      <w:r w:rsidR="00F15E20" w:rsidRPr="000C5DB4">
        <w:rPr>
          <w:rFonts w:cs="Arial"/>
          <w:color w:val="000000"/>
          <w:szCs w:val="24"/>
        </w:rPr>
        <w:t>increase of £194</w:t>
      </w:r>
      <w:r w:rsidRPr="000C5DB4">
        <w:rPr>
          <w:rFonts w:cs="Arial"/>
          <w:color w:val="000000"/>
          <w:szCs w:val="24"/>
        </w:rPr>
        <w:t>m in the amount of Gilts</w:t>
      </w:r>
      <w:r w:rsidR="0025195B">
        <w:rPr>
          <w:rFonts w:cs="Arial"/>
          <w:color w:val="000000"/>
          <w:szCs w:val="24"/>
        </w:rPr>
        <w:t>. This reflects the re-balancing of the portfolio as the previous period saw a significant reduction in the level of Gilts hel</w:t>
      </w:r>
      <w:r w:rsidR="0025195B" w:rsidRPr="0025195B">
        <w:rPr>
          <w:rFonts w:cs="Arial"/>
          <w:color w:val="000000"/>
          <w:szCs w:val="24"/>
        </w:rPr>
        <w:t xml:space="preserve">d </w:t>
      </w:r>
      <w:r w:rsidRPr="0025195B">
        <w:rPr>
          <w:rFonts w:cs="Arial"/>
          <w:color w:val="000000"/>
          <w:szCs w:val="24"/>
        </w:rPr>
        <w:t>as a consequence of the volatility in the market</w:t>
      </w:r>
      <w:r w:rsidR="0025195B">
        <w:rPr>
          <w:rFonts w:cs="Arial"/>
          <w:color w:val="000000"/>
          <w:szCs w:val="24"/>
        </w:rPr>
        <w:t xml:space="preserve"> at the time</w:t>
      </w:r>
      <w:r w:rsidRPr="000C5DB4">
        <w:rPr>
          <w:rFonts w:cs="Arial"/>
          <w:color w:val="000000"/>
          <w:szCs w:val="24"/>
        </w:rPr>
        <w:t>. To compensate for this t</w:t>
      </w:r>
      <w:r w:rsidR="00F15E20" w:rsidRPr="000C5DB4">
        <w:rPr>
          <w:rFonts w:cs="Arial"/>
          <w:color w:val="000000"/>
          <w:szCs w:val="24"/>
        </w:rPr>
        <w:t>here has been a de</w:t>
      </w:r>
      <w:r w:rsidRPr="000C5DB4">
        <w:rPr>
          <w:rFonts w:cs="Arial"/>
          <w:color w:val="000000"/>
          <w:szCs w:val="24"/>
        </w:rPr>
        <w:t>crease in Bank and</w:t>
      </w:r>
      <w:r w:rsidR="00F15E20" w:rsidRPr="000C5DB4">
        <w:rPr>
          <w:rFonts w:cs="Arial"/>
          <w:color w:val="000000"/>
          <w:szCs w:val="24"/>
        </w:rPr>
        <w:t xml:space="preserve"> Local Authority deposits of £36m and other bonds of £199</w:t>
      </w:r>
      <w:r w:rsidRPr="000C5DB4">
        <w:rPr>
          <w:rFonts w:cs="Arial"/>
          <w:color w:val="000000"/>
          <w:szCs w:val="24"/>
        </w:rPr>
        <w:t>m</w:t>
      </w:r>
      <w:r w:rsidR="005E0D22" w:rsidRPr="000C5DB4">
        <w:rPr>
          <w:rFonts w:cs="Arial"/>
          <w:color w:val="000000"/>
          <w:szCs w:val="24"/>
        </w:rPr>
        <w:t>.</w:t>
      </w:r>
      <w:r w:rsidRPr="000C5DB4">
        <w:rPr>
          <w:rFonts w:cs="Arial"/>
          <w:szCs w:val="24"/>
        </w:rPr>
        <w:t xml:space="preserve"> </w:t>
      </w:r>
    </w:p>
    <w:p w:rsidR="00651796" w:rsidRPr="000C5DB4" w:rsidRDefault="008725D6" w:rsidP="00931724">
      <w:pPr>
        <w:jc w:val="both"/>
        <w:rPr>
          <w:rFonts w:cs="Arial"/>
          <w:szCs w:val="24"/>
        </w:rPr>
      </w:pPr>
      <w:r w:rsidRPr="000C5DB4">
        <w:rPr>
          <w:rFonts w:cs="Arial"/>
          <w:szCs w:val="24"/>
        </w:rPr>
        <w:t xml:space="preserve"> </w:t>
      </w:r>
    </w:p>
    <w:p w:rsidR="004F1BA8" w:rsidRPr="000C5DB4" w:rsidRDefault="008725D6" w:rsidP="00931724">
      <w:pPr>
        <w:jc w:val="both"/>
        <w:rPr>
          <w:rFonts w:cs="Arial"/>
          <w:szCs w:val="24"/>
        </w:rPr>
      </w:pPr>
      <w:r w:rsidRPr="000C5DB4">
        <w:rPr>
          <w:rFonts w:cs="Arial"/>
          <w:szCs w:val="24"/>
        </w:rPr>
        <w:lastRenderedPageBreak/>
        <w:t>The current rate of return on the i</w:t>
      </w:r>
      <w:r w:rsidR="00367FBE">
        <w:rPr>
          <w:rFonts w:cs="Arial"/>
          <w:szCs w:val="24"/>
        </w:rPr>
        <w:t xml:space="preserve">nvestment portfolio measured by </w:t>
      </w:r>
      <w:r w:rsidRPr="000C5DB4">
        <w:rPr>
          <w:rFonts w:cs="Arial"/>
          <w:szCs w:val="24"/>
        </w:rPr>
        <w:t xml:space="preserve">Arlingclose </w:t>
      </w:r>
      <w:r w:rsidR="00F15E20" w:rsidRPr="000C5DB4">
        <w:rPr>
          <w:rFonts w:cs="Arial"/>
          <w:szCs w:val="24"/>
        </w:rPr>
        <w:t>Ltd is 1.04</w:t>
      </w:r>
      <w:r w:rsidRPr="000C5DB4">
        <w:rPr>
          <w:rFonts w:cs="Arial"/>
          <w:szCs w:val="24"/>
        </w:rPr>
        <w:t>% which compares favourably with the benchmark 7 day LIBID which averages 0.45% over the same period.</w:t>
      </w:r>
    </w:p>
    <w:p w:rsidR="00365D61" w:rsidRPr="00A412DE" w:rsidRDefault="005E5354" w:rsidP="00931724">
      <w:pPr>
        <w:ind w:hanging="11"/>
        <w:jc w:val="both"/>
        <w:rPr>
          <w:rFonts w:cs="Arial"/>
          <w:szCs w:val="24"/>
          <w:highlight w:val="yellow"/>
        </w:rPr>
      </w:pPr>
    </w:p>
    <w:p w:rsidR="003413AB" w:rsidRPr="000C5DB4" w:rsidRDefault="008725D6" w:rsidP="00931724">
      <w:pPr>
        <w:ind w:hanging="11"/>
        <w:jc w:val="both"/>
        <w:rPr>
          <w:rFonts w:cs="Arial"/>
          <w:b/>
          <w:szCs w:val="24"/>
        </w:rPr>
      </w:pPr>
      <w:r w:rsidRPr="000C5DB4">
        <w:rPr>
          <w:rFonts w:cs="Arial"/>
          <w:b/>
          <w:szCs w:val="24"/>
        </w:rPr>
        <w:t>3.2</w:t>
      </w:r>
      <w:r w:rsidRPr="000C5DB4">
        <w:rPr>
          <w:rFonts w:cs="Arial"/>
          <w:b/>
          <w:szCs w:val="24"/>
        </w:rPr>
        <w:tab/>
        <w:t>Borrowing Activity</w:t>
      </w:r>
    </w:p>
    <w:p w:rsidR="003413AB" w:rsidRPr="00A412DE" w:rsidRDefault="005E5354" w:rsidP="00931724">
      <w:pPr>
        <w:ind w:hanging="11"/>
        <w:jc w:val="both"/>
        <w:rPr>
          <w:rFonts w:cs="Arial"/>
          <w:b/>
          <w:szCs w:val="24"/>
          <w:highlight w:val="yellow"/>
        </w:rPr>
      </w:pPr>
    </w:p>
    <w:p w:rsidR="000C5DB4" w:rsidRPr="000C5DB4" w:rsidRDefault="008725D6" w:rsidP="000C5DB4">
      <w:pPr>
        <w:pStyle w:val="ListParagraph"/>
        <w:spacing w:after="0" w:line="240" w:lineRule="auto"/>
        <w:ind w:left="0"/>
        <w:jc w:val="both"/>
        <w:rPr>
          <w:rFonts w:cs="Arial"/>
          <w:szCs w:val="24"/>
        </w:rPr>
      </w:pPr>
      <w:r w:rsidRPr="000C5DB4">
        <w:rPr>
          <w:rFonts w:cs="Arial"/>
          <w:szCs w:val="24"/>
        </w:rPr>
        <w:t>Current market conditions continue to enable the County Council to take advantage</w:t>
      </w:r>
      <w:r w:rsidR="00C40927">
        <w:rPr>
          <w:rFonts w:cs="Arial"/>
          <w:szCs w:val="24"/>
        </w:rPr>
        <w:t xml:space="preserve"> of short term market borrowing.</w:t>
      </w:r>
      <w:r w:rsidRPr="000C5DB4">
        <w:rPr>
          <w:rFonts w:cs="Arial"/>
          <w:szCs w:val="24"/>
        </w:rPr>
        <w:t xml:space="preserve"> The table below shows the borrowing activity which has taken place between </w:t>
      </w:r>
      <w:r w:rsidR="000C5DB4" w:rsidRPr="000C5DB4">
        <w:rPr>
          <w:rFonts w:cs="Arial"/>
          <w:szCs w:val="24"/>
        </w:rPr>
        <w:t>1</w:t>
      </w:r>
      <w:r w:rsidR="000C5DB4" w:rsidRPr="000C5DB4">
        <w:rPr>
          <w:rFonts w:cs="Arial"/>
          <w:szCs w:val="24"/>
          <w:vertAlign w:val="superscript"/>
        </w:rPr>
        <w:t>st</w:t>
      </w:r>
      <w:r w:rsidR="000C5DB4" w:rsidRPr="000C5DB4">
        <w:rPr>
          <w:rFonts w:cs="Arial"/>
          <w:szCs w:val="24"/>
        </w:rPr>
        <w:t xml:space="preserve"> August 2016 and 30</w:t>
      </w:r>
      <w:r w:rsidR="000C5DB4" w:rsidRPr="000C5DB4">
        <w:rPr>
          <w:rFonts w:cs="Arial"/>
          <w:szCs w:val="24"/>
          <w:vertAlign w:val="superscript"/>
        </w:rPr>
        <w:t>th</w:t>
      </w:r>
      <w:r w:rsidR="000C5DB4" w:rsidRPr="000C5DB4">
        <w:rPr>
          <w:rFonts w:cs="Arial"/>
          <w:szCs w:val="24"/>
        </w:rPr>
        <w:t xml:space="preserve"> November 2016.</w:t>
      </w:r>
    </w:p>
    <w:p w:rsidR="00651796" w:rsidRPr="000C5DB4" w:rsidRDefault="005E5354" w:rsidP="008337AA">
      <w:pPr>
        <w:ind w:hanging="11"/>
        <w:jc w:val="both"/>
        <w:rPr>
          <w:rFonts w:cs="Arial"/>
        </w:rPr>
      </w:pPr>
    </w:p>
    <w:tbl>
      <w:tblPr>
        <w:tblW w:w="10490" w:type="dxa"/>
        <w:tblInd w:w="-572" w:type="dxa"/>
        <w:tblLayout w:type="fixed"/>
        <w:tblLook w:val="04A0" w:firstRow="1" w:lastRow="0" w:firstColumn="1" w:lastColumn="0" w:noHBand="0" w:noVBand="1"/>
      </w:tblPr>
      <w:tblGrid>
        <w:gridCol w:w="2694"/>
        <w:gridCol w:w="1134"/>
        <w:gridCol w:w="1275"/>
        <w:gridCol w:w="993"/>
        <w:gridCol w:w="1559"/>
        <w:gridCol w:w="1559"/>
        <w:gridCol w:w="1276"/>
      </w:tblGrid>
      <w:tr w:rsidR="005519C2" w:rsidRPr="000C5DB4" w:rsidTr="00AD67B3">
        <w:trPr>
          <w:trHeight w:val="1493"/>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5D2A27" w:rsidRPr="000C5DB4" w:rsidRDefault="008725D6" w:rsidP="005D2A27">
            <w:pPr>
              <w:rPr>
                <w:rFonts w:cs="Arial"/>
                <w:b/>
                <w:bCs/>
                <w:color w:val="000000"/>
                <w:szCs w:val="24"/>
                <w:u w:val="single"/>
              </w:rPr>
            </w:pPr>
            <w:r w:rsidRPr="000C5DB4">
              <w:rPr>
                <w:rFonts w:cs="Arial"/>
                <w:b/>
                <w:bCs/>
                <w:color w:val="000000"/>
                <w:szCs w:val="24"/>
                <w:u w:val="single"/>
              </w:rPr>
              <w:t>Borrowing</w:t>
            </w:r>
          </w:p>
        </w:tc>
        <w:tc>
          <w:tcPr>
            <w:tcW w:w="1134" w:type="dxa"/>
            <w:tcBorders>
              <w:top w:val="single" w:sz="4" w:space="0" w:color="auto"/>
              <w:left w:val="nil"/>
              <w:bottom w:val="nil"/>
              <w:right w:val="single" w:sz="4" w:space="0" w:color="auto"/>
            </w:tcBorders>
            <w:shd w:val="clear" w:color="auto" w:fill="auto"/>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PWLB Fixed</w:t>
            </w:r>
          </w:p>
        </w:tc>
        <w:tc>
          <w:tcPr>
            <w:tcW w:w="1275" w:type="dxa"/>
            <w:tcBorders>
              <w:top w:val="single" w:sz="4" w:space="0" w:color="auto"/>
              <w:left w:val="nil"/>
              <w:bottom w:val="nil"/>
              <w:right w:val="single" w:sz="4" w:space="0" w:color="auto"/>
            </w:tcBorders>
            <w:shd w:val="clear" w:color="auto" w:fill="auto"/>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PWLB Variable</w:t>
            </w:r>
          </w:p>
        </w:tc>
        <w:tc>
          <w:tcPr>
            <w:tcW w:w="993" w:type="dxa"/>
            <w:tcBorders>
              <w:top w:val="single" w:sz="4" w:space="0" w:color="auto"/>
              <w:left w:val="nil"/>
              <w:bottom w:val="nil"/>
              <w:right w:val="single" w:sz="4" w:space="0" w:color="auto"/>
            </w:tcBorders>
            <w:shd w:val="clear" w:color="auto" w:fill="auto"/>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Long Term Market Loan</w:t>
            </w:r>
          </w:p>
        </w:tc>
        <w:tc>
          <w:tcPr>
            <w:tcW w:w="1559" w:type="dxa"/>
            <w:tcBorders>
              <w:top w:val="single" w:sz="4" w:space="0" w:color="auto"/>
              <w:left w:val="nil"/>
              <w:bottom w:val="nil"/>
              <w:right w:val="single" w:sz="4" w:space="0" w:color="auto"/>
            </w:tcBorders>
            <w:shd w:val="clear" w:color="auto" w:fill="auto"/>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Other Local</w:t>
            </w:r>
          </w:p>
          <w:p w:rsidR="00AD67B3" w:rsidRPr="000C5DB4" w:rsidRDefault="00AD67B3" w:rsidP="005D2A27">
            <w:pPr>
              <w:jc w:val="center"/>
              <w:rPr>
                <w:rFonts w:cs="Arial"/>
                <w:b/>
                <w:bCs/>
                <w:color w:val="000000"/>
                <w:szCs w:val="24"/>
              </w:rPr>
            </w:pPr>
            <w:r w:rsidRPr="000C5DB4">
              <w:rPr>
                <w:rFonts w:cs="Arial"/>
                <w:b/>
                <w:bCs/>
                <w:color w:val="000000"/>
                <w:szCs w:val="24"/>
              </w:rPr>
              <w:t>Authorities</w:t>
            </w:r>
            <w:r w:rsidR="005330E8" w:rsidRPr="000C5DB4">
              <w:rPr>
                <w:rFonts w:cs="Arial"/>
                <w:b/>
                <w:bCs/>
                <w:color w:val="000000"/>
                <w:szCs w:val="24"/>
              </w:rPr>
              <w:t xml:space="preserve"> (incl PCC*)</w:t>
            </w:r>
          </w:p>
        </w:tc>
        <w:tc>
          <w:tcPr>
            <w:tcW w:w="1559" w:type="dxa"/>
            <w:tcBorders>
              <w:top w:val="single" w:sz="4" w:space="0" w:color="auto"/>
              <w:left w:val="nil"/>
              <w:bottom w:val="nil"/>
              <w:right w:val="single" w:sz="4" w:space="0" w:color="auto"/>
            </w:tcBorders>
            <w:shd w:val="clear" w:color="auto" w:fill="auto"/>
            <w:vAlign w:val="bottom"/>
            <w:hideMark/>
          </w:tcPr>
          <w:p w:rsidR="005D2A27" w:rsidRPr="000C5DB4" w:rsidRDefault="008725D6" w:rsidP="005330E8">
            <w:pPr>
              <w:jc w:val="center"/>
              <w:rPr>
                <w:rFonts w:cs="Arial"/>
                <w:b/>
                <w:bCs/>
                <w:color w:val="000000"/>
                <w:szCs w:val="24"/>
              </w:rPr>
            </w:pPr>
            <w:r w:rsidRPr="000C5DB4">
              <w:rPr>
                <w:rFonts w:cs="Arial"/>
                <w:b/>
                <w:bCs/>
                <w:color w:val="000000"/>
                <w:szCs w:val="24"/>
              </w:rPr>
              <w:t xml:space="preserve">Lancashire </w:t>
            </w:r>
            <w:r w:rsidR="005330E8" w:rsidRPr="000C5DB4">
              <w:rPr>
                <w:rFonts w:cs="Arial"/>
                <w:b/>
                <w:bCs/>
                <w:color w:val="000000"/>
                <w:szCs w:val="24"/>
              </w:rPr>
              <w:t>Call Accounts</w:t>
            </w:r>
          </w:p>
        </w:tc>
        <w:tc>
          <w:tcPr>
            <w:tcW w:w="1276" w:type="dxa"/>
            <w:tcBorders>
              <w:top w:val="single" w:sz="4" w:space="0" w:color="auto"/>
              <w:left w:val="nil"/>
              <w:bottom w:val="nil"/>
              <w:right w:val="single" w:sz="4" w:space="0" w:color="auto"/>
            </w:tcBorders>
            <w:shd w:val="clear" w:color="auto" w:fill="auto"/>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 xml:space="preserve"> Total </w:t>
            </w:r>
          </w:p>
        </w:tc>
      </w:tr>
      <w:tr w:rsidR="005519C2" w:rsidRPr="000C5DB4" w:rsidTr="00AD67B3">
        <w:trPr>
          <w:trHeight w:val="29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5D2A27" w:rsidRPr="000C5DB4" w:rsidRDefault="008725D6" w:rsidP="005D2A27">
            <w:pPr>
              <w:rPr>
                <w:rFonts w:cs="Arial"/>
                <w:b/>
                <w:bCs/>
                <w:color w:val="000000"/>
                <w:szCs w:val="24"/>
              </w:rPr>
            </w:pPr>
            <w:r w:rsidRPr="000C5DB4">
              <w:rPr>
                <w:rFonts w:cs="Arial"/>
                <w:b/>
                <w:bCs/>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£m</w:t>
            </w:r>
          </w:p>
        </w:tc>
        <w:tc>
          <w:tcPr>
            <w:tcW w:w="1275" w:type="dxa"/>
            <w:tcBorders>
              <w:top w:val="nil"/>
              <w:left w:val="nil"/>
              <w:bottom w:val="single" w:sz="4" w:space="0" w:color="auto"/>
              <w:right w:val="single" w:sz="4" w:space="0" w:color="auto"/>
            </w:tcBorders>
            <w:shd w:val="clear" w:color="auto" w:fill="auto"/>
            <w:noWrap/>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£m</w:t>
            </w:r>
          </w:p>
        </w:tc>
        <w:tc>
          <w:tcPr>
            <w:tcW w:w="993" w:type="dxa"/>
            <w:tcBorders>
              <w:top w:val="nil"/>
              <w:left w:val="nil"/>
              <w:bottom w:val="single" w:sz="4" w:space="0" w:color="auto"/>
              <w:right w:val="single" w:sz="4" w:space="0" w:color="auto"/>
            </w:tcBorders>
            <w:shd w:val="clear" w:color="auto" w:fill="auto"/>
            <w:noWrap/>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£m</w:t>
            </w:r>
          </w:p>
        </w:tc>
        <w:tc>
          <w:tcPr>
            <w:tcW w:w="1559" w:type="dxa"/>
            <w:tcBorders>
              <w:top w:val="nil"/>
              <w:left w:val="nil"/>
              <w:bottom w:val="single" w:sz="4" w:space="0" w:color="auto"/>
              <w:right w:val="single" w:sz="4" w:space="0" w:color="auto"/>
            </w:tcBorders>
            <w:shd w:val="clear" w:color="auto" w:fill="auto"/>
            <w:noWrap/>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£m</w:t>
            </w:r>
          </w:p>
        </w:tc>
        <w:tc>
          <w:tcPr>
            <w:tcW w:w="1559" w:type="dxa"/>
            <w:tcBorders>
              <w:top w:val="nil"/>
              <w:left w:val="nil"/>
              <w:bottom w:val="single" w:sz="4" w:space="0" w:color="auto"/>
              <w:right w:val="single" w:sz="4" w:space="0" w:color="auto"/>
            </w:tcBorders>
            <w:shd w:val="clear" w:color="auto" w:fill="auto"/>
            <w:noWrap/>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rsidR="005D2A27" w:rsidRPr="000C5DB4" w:rsidRDefault="008725D6" w:rsidP="005D2A27">
            <w:pPr>
              <w:jc w:val="center"/>
              <w:rPr>
                <w:rFonts w:cs="Arial"/>
                <w:b/>
                <w:bCs/>
                <w:color w:val="000000"/>
                <w:szCs w:val="24"/>
              </w:rPr>
            </w:pPr>
            <w:r w:rsidRPr="000C5DB4">
              <w:rPr>
                <w:rFonts w:cs="Arial"/>
                <w:b/>
                <w:bCs/>
                <w:color w:val="000000"/>
                <w:szCs w:val="24"/>
              </w:rPr>
              <w:t>£m</w:t>
            </w:r>
          </w:p>
        </w:tc>
      </w:tr>
      <w:tr w:rsidR="000C5DB4" w:rsidRPr="000C5DB4" w:rsidTr="00AD67B3">
        <w:trPr>
          <w:trHeight w:val="298"/>
        </w:trPr>
        <w:tc>
          <w:tcPr>
            <w:tcW w:w="2694" w:type="dxa"/>
            <w:tcBorders>
              <w:top w:val="nil"/>
              <w:left w:val="single" w:sz="4" w:space="0" w:color="auto"/>
              <w:bottom w:val="nil"/>
              <w:right w:val="single" w:sz="4" w:space="0" w:color="auto"/>
            </w:tcBorders>
            <w:shd w:val="clear" w:color="auto" w:fill="auto"/>
            <w:noWrap/>
            <w:vAlign w:val="bottom"/>
            <w:hideMark/>
          </w:tcPr>
          <w:p w:rsidR="000C5DB4" w:rsidRPr="000C5DB4" w:rsidRDefault="000C5DB4" w:rsidP="000C5DB4">
            <w:pPr>
              <w:rPr>
                <w:rFonts w:cs="Arial"/>
                <w:b/>
                <w:bCs/>
                <w:color w:val="000000"/>
              </w:rPr>
            </w:pPr>
            <w:r w:rsidRPr="000C5DB4">
              <w:rPr>
                <w:rFonts w:cs="Arial"/>
                <w:b/>
                <w:bCs/>
                <w:color w:val="000000"/>
              </w:rPr>
              <w:t>Balance 1 August 2016</w:t>
            </w:r>
          </w:p>
        </w:tc>
        <w:tc>
          <w:tcPr>
            <w:tcW w:w="1134"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213.10</w:t>
            </w:r>
          </w:p>
        </w:tc>
        <w:tc>
          <w:tcPr>
            <w:tcW w:w="1275"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125.75</w:t>
            </w:r>
          </w:p>
        </w:tc>
        <w:tc>
          <w:tcPr>
            <w:tcW w:w="993"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51.78</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552.00</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99.81</w:t>
            </w:r>
          </w:p>
        </w:tc>
        <w:tc>
          <w:tcPr>
            <w:tcW w:w="1276"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1,042.45</w:t>
            </w:r>
          </w:p>
        </w:tc>
      </w:tr>
      <w:tr w:rsidR="000C5DB4" w:rsidRPr="000C5DB4" w:rsidTr="00AD67B3">
        <w:trPr>
          <w:trHeight w:val="284"/>
        </w:trPr>
        <w:tc>
          <w:tcPr>
            <w:tcW w:w="2694" w:type="dxa"/>
            <w:tcBorders>
              <w:top w:val="nil"/>
              <w:left w:val="single" w:sz="4" w:space="0" w:color="auto"/>
              <w:bottom w:val="nil"/>
              <w:right w:val="single" w:sz="4" w:space="0" w:color="auto"/>
            </w:tcBorders>
            <w:shd w:val="clear" w:color="auto" w:fill="auto"/>
            <w:noWrap/>
            <w:vAlign w:val="bottom"/>
            <w:hideMark/>
          </w:tcPr>
          <w:p w:rsidR="000C5DB4" w:rsidRPr="000C5DB4" w:rsidRDefault="000C5DB4" w:rsidP="000C5DB4">
            <w:pPr>
              <w:rPr>
                <w:rFonts w:cs="Arial"/>
                <w:color w:val="000000"/>
              </w:rPr>
            </w:pPr>
            <w:r w:rsidRPr="000C5DB4">
              <w:rPr>
                <w:rFonts w:cs="Arial"/>
                <w:color w:val="000000"/>
              </w:rPr>
              <w:t>New Borrowing</w:t>
            </w:r>
          </w:p>
        </w:tc>
        <w:tc>
          <w:tcPr>
            <w:tcW w:w="1134"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0.00</w:t>
            </w:r>
          </w:p>
        </w:tc>
        <w:tc>
          <w:tcPr>
            <w:tcW w:w="1275"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0.00</w:t>
            </w:r>
          </w:p>
        </w:tc>
        <w:tc>
          <w:tcPr>
            <w:tcW w:w="993"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0.00</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219.00</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170.85</w:t>
            </w:r>
          </w:p>
        </w:tc>
        <w:tc>
          <w:tcPr>
            <w:tcW w:w="1276"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389.85</w:t>
            </w:r>
          </w:p>
        </w:tc>
      </w:tr>
      <w:tr w:rsidR="000C5DB4" w:rsidRPr="000C5DB4" w:rsidTr="00AD67B3">
        <w:trPr>
          <w:trHeight w:val="284"/>
        </w:trPr>
        <w:tc>
          <w:tcPr>
            <w:tcW w:w="2694" w:type="dxa"/>
            <w:tcBorders>
              <w:top w:val="nil"/>
              <w:left w:val="single" w:sz="4" w:space="0" w:color="auto"/>
              <w:bottom w:val="nil"/>
              <w:right w:val="single" w:sz="4" w:space="0" w:color="auto"/>
            </w:tcBorders>
            <w:shd w:val="clear" w:color="auto" w:fill="auto"/>
            <w:noWrap/>
            <w:vAlign w:val="bottom"/>
            <w:hideMark/>
          </w:tcPr>
          <w:p w:rsidR="000C5DB4" w:rsidRPr="000C5DB4" w:rsidRDefault="000C5DB4" w:rsidP="000C5DB4">
            <w:pPr>
              <w:rPr>
                <w:rFonts w:cs="Arial"/>
                <w:color w:val="000000"/>
              </w:rPr>
            </w:pPr>
            <w:r w:rsidRPr="000C5DB4">
              <w:rPr>
                <w:rFonts w:cs="Arial"/>
                <w:color w:val="000000"/>
              </w:rPr>
              <w:t>Maturities</w:t>
            </w:r>
          </w:p>
        </w:tc>
        <w:tc>
          <w:tcPr>
            <w:tcW w:w="1134"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0.00</w:t>
            </w:r>
          </w:p>
        </w:tc>
        <w:tc>
          <w:tcPr>
            <w:tcW w:w="1275"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0.00</w:t>
            </w:r>
          </w:p>
        </w:tc>
        <w:tc>
          <w:tcPr>
            <w:tcW w:w="993"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0.00</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-201.00</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-192.46</w:t>
            </w:r>
          </w:p>
        </w:tc>
        <w:tc>
          <w:tcPr>
            <w:tcW w:w="1276"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-393.46</w:t>
            </w:r>
          </w:p>
        </w:tc>
      </w:tr>
      <w:tr w:rsidR="000C5DB4" w:rsidRPr="000C5DB4" w:rsidTr="00AD67B3">
        <w:trPr>
          <w:trHeight w:val="29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DB4" w:rsidRPr="000C5DB4" w:rsidRDefault="000C5DB4" w:rsidP="000C5DB4">
            <w:pPr>
              <w:rPr>
                <w:rFonts w:cs="Arial"/>
                <w:b/>
                <w:bCs/>
                <w:color w:val="000000"/>
              </w:rPr>
            </w:pPr>
            <w:r w:rsidRPr="000C5DB4">
              <w:rPr>
                <w:rFonts w:cs="Arial"/>
                <w:b/>
                <w:bCs/>
                <w:color w:val="000000"/>
              </w:rPr>
              <w:t>Balance 30 November 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213.10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125.75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51.78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570.00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78.20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5DB4" w:rsidRPr="000C5DB4" w:rsidRDefault="000C5DB4" w:rsidP="000C5DB4">
            <w:pPr>
              <w:jc w:val="center"/>
              <w:rPr>
                <w:rFonts w:cs="Arial"/>
                <w:b/>
                <w:bCs/>
                <w:color w:val="000000"/>
              </w:rPr>
            </w:pPr>
            <w:r w:rsidRPr="000C5DB4">
              <w:rPr>
                <w:rFonts w:cs="Arial"/>
                <w:b/>
                <w:bCs/>
                <w:color w:val="000000"/>
              </w:rPr>
              <w:t>1,038.84</w:t>
            </w:r>
          </w:p>
        </w:tc>
      </w:tr>
      <w:tr w:rsidR="000C5DB4" w:rsidRPr="000C5DB4" w:rsidTr="00AD67B3">
        <w:trPr>
          <w:trHeight w:val="284"/>
        </w:trPr>
        <w:tc>
          <w:tcPr>
            <w:tcW w:w="2694" w:type="dxa"/>
            <w:tcBorders>
              <w:top w:val="nil"/>
              <w:left w:val="single" w:sz="4" w:space="0" w:color="auto"/>
              <w:bottom w:val="nil"/>
              <w:right w:val="single" w:sz="4" w:space="0" w:color="auto"/>
            </w:tcBorders>
            <w:shd w:val="clear" w:color="auto" w:fill="auto"/>
            <w:noWrap/>
            <w:vAlign w:val="bottom"/>
            <w:hideMark/>
          </w:tcPr>
          <w:p w:rsidR="000C5DB4" w:rsidRPr="000C5DB4" w:rsidRDefault="000C5DB4" w:rsidP="000C5DB4">
            <w:pPr>
              <w:rPr>
                <w:rFonts w:cs="Arial"/>
                <w:color w:val="000000"/>
              </w:rPr>
            </w:pPr>
            <w:r w:rsidRPr="000C5DB4">
              <w:rPr>
                <w:rFonts w:cs="Arial"/>
                <w:color w:val="000000"/>
              </w:rPr>
              <w:t> </w:t>
            </w:r>
          </w:p>
        </w:tc>
        <w:tc>
          <w:tcPr>
            <w:tcW w:w="1134"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 </w:t>
            </w:r>
          </w:p>
        </w:tc>
        <w:tc>
          <w:tcPr>
            <w:tcW w:w="1275"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 </w:t>
            </w:r>
          </w:p>
        </w:tc>
        <w:tc>
          <w:tcPr>
            <w:tcW w:w="993"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 </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 </w:t>
            </w:r>
          </w:p>
        </w:tc>
        <w:tc>
          <w:tcPr>
            <w:tcW w:w="1559"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 </w:t>
            </w:r>
          </w:p>
        </w:tc>
        <w:tc>
          <w:tcPr>
            <w:tcW w:w="1276" w:type="dxa"/>
            <w:tcBorders>
              <w:top w:val="nil"/>
              <w:left w:val="nil"/>
              <w:bottom w:val="nil"/>
              <w:right w:val="single" w:sz="4" w:space="0" w:color="auto"/>
            </w:tcBorders>
            <w:shd w:val="clear" w:color="auto" w:fill="auto"/>
            <w:noWrap/>
            <w:vAlign w:val="bottom"/>
            <w:hideMark/>
          </w:tcPr>
          <w:p w:rsidR="000C5DB4" w:rsidRPr="000C5DB4" w:rsidRDefault="000C5DB4" w:rsidP="000C5DB4">
            <w:pPr>
              <w:jc w:val="center"/>
              <w:rPr>
                <w:rFonts w:cs="Arial"/>
                <w:color w:val="000000"/>
              </w:rPr>
            </w:pPr>
            <w:r w:rsidRPr="000C5DB4">
              <w:rPr>
                <w:rFonts w:cs="Arial"/>
                <w:color w:val="000000"/>
              </w:rPr>
              <w:t> </w:t>
            </w:r>
          </w:p>
        </w:tc>
      </w:tr>
      <w:tr w:rsidR="000C5DB4" w:rsidRPr="000C5DB4" w:rsidTr="00AD67B3">
        <w:trPr>
          <w:trHeight w:val="568"/>
        </w:trPr>
        <w:tc>
          <w:tcPr>
            <w:tcW w:w="2694" w:type="dxa"/>
            <w:tcBorders>
              <w:top w:val="nil"/>
              <w:left w:val="single" w:sz="4" w:space="0" w:color="auto"/>
              <w:bottom w:val="nil"/>
              <w:right w:val="single" w:sz="4" w:space="0" w:color="auto"/>
            </w:tcBorders>
            <w:shd w:val="clear" w:color="auto" w:fill="auto"/>
            <w:vAlign w:val="bottom"/>
            <w:hideMark/>
          </w:tcPr>
          <w:p w:rsidR="000C5DB4" w:rsidRPr="000C5DB4" w:rsidRDefault="000C5DB4" w:rsidP="000C5DB4">
            <w:pPr>
              <w:rPr>
                <w:rFonts w:cs="Arial"/>
                <w:color w:val="000000"/>
              </w:rPr>
            </w:pPr>
            <w:r w:rsidRPr="000C5DB4">
              <w:rPr>
                <w:rFonts w:cs="Arial"/>
                <w:color w:val="000000"/>
              </w:rPr>
              <w:t>Public Finance Initiative (PFI) Liability</w:t>
            </w:r>
          </w:p>
        </w:tc>
        <w:tc>
          <w:tcPr>
            <w:tcW w:w="1134" w:type="dxa"/>
            <w:tcBorders>
              <w:top w:val="nil"/>
              <w:left w:val="nil"/>
              <w:bottom w:val="nil"/>
              <w:right w:val="single" w:sz="4" w:space="0" w:color="auto"/>
            </w:tcBorders>
            <w:shd w:val="clear" w:color="auto" w:fill="auto"/>
            <w:noWrap/>
            <w:vAlign w:val="center"/>
            <w:hideMark/>
          </w:tcPr>
          <w:p w:rsidR="000C5DB4" w:rsidRPr="000C5DB4" w:rsidRDefault="000C5DB4" w:rsidP="000C5DB4">
            <w:pPr>
              <w:jc w:val="center"/>
              <w:rPr>
                <w:rFonts w:cs="Arial"/>
                <w:color w:val="000000"/>
              </w:rPr>
            </w:pPr>
            <w:r w:rsidRPr="000C5DB4">
              <w:rPr>
                <w:rFonts w:cs="Arial"/>
                <w:color w:val="000000"/>
              </w:rPr>
              <w:t>-</w:t>
            </w:r>
          </w:p>
        </w:tc>
        <w:tc>
          <w:tcPr>
            <w:tcW w:w="1275" w:type="dxa"/>
            <w:tcBorders>
              <w:top w:val="nil"/>
              <w:left w:val="nil"/>
              <w:bottom w:val="nil"/>
              <w:right w:val="single" w:sz="4" w:space="0" w:color="auto"/>
            </w:tcBorders>
            <w:shd w:val="clear" w:color="auto" w:fill="auto"/>
            <w:noWrap/>
            <w:vAlign w:val="center"/>
            <w:hideMark/>
          </w:tcPr>
          <w:p w:rsidR="000C5DB4" w:rsidRPr="000C5DB4" w:rsidRDefault="000C5DB4" w:rsidP="000C5DB4">
            <w:pPr>
              <w:jc w:val="center"/>
              <w:rPr>
                <w:rFonts w:cs="Arial"/>
                <w:color w:val="000000"/>
              </w:rPr>
            </w:pPr>
            <w:r w:rsidRPr="000C5DB4">
              <w:rPr>
                <w:rFonts w:cs="Arial"/>
                <w:color w:val="000000"/>
              </w:rPr>
              <w:t>-</w:t>
            </w:r>
          </w:p>
        </w:tc>
        <w:tc>
          <w:tcPr>
            <w:tcW w:w="993" w:type="dxa"/>
            <w:tcBorders>
              <w:top w:val="nil"/>
              <w:left w:val="nil"/>
              <w:bottom w:val="nil"/>
              <w:right w:val="single" w:sz="4" w:space="0" w:color="auto"/>
            </w:tcBorders>
            <w:shd w:val="clear" w:color="auto" w:fill="auto"/>
            <w:noWrap/>
            <w:vAlign w:val="center"/>
            <w:hideMark/>
          </w:tcPr>
          <w:p w:rsidR="000C5DB4" w:rsidRPr="000C5DB4" w:rsidRDefault="000C5DB4" w:rsidP="000C5DB4">
            <w:pPr>
              <w:jc w:val="center"/>
              <w:rPr>
                <w:rFonts w:cs="Arial"/>
                <w:color w:val="000000"/>
              </w:rPr>
            </w:pPr>
            <w:r w:rsidRPr="000C5DB4">
              <w:rPr>
                <w:rFonts w:cs="Arial"/>
                <w:color w:val="000000"/>
              </w:rPr>
              <w:t>-</w:t>
            </w:r>
          </w:p>
        </w:tc>
        <w:tc>
          <w:tcPr>
            <w:tcW w:w="1559" w:type="dxa"/>
            <w:tcBorders>
              <w:top w:val="nil"/>
              <w:left w:val="nil"/>
              <w:bottom w:val="nil"/>
              <w:right w:val="single" w:sz="4" w:space="0" w:color="auto"/>
            </w:tcBorders>
            <w:shd w:val="clear" w:color="auto" w:fill="auto"/>
            <w:noWrap/>
            <w:vAlign w:val="center"/>
            <w:hideMark/>
          </w:tcPr>
          <w:p w:rsidR="000C5DB4" w:rsidRPr="000C5DB4" w:rsidRDefault="000C5DB4" w:rsidP="000C5DB4">
            <w:pPr>
              <w:jc w:val="center"/>
              <w:rPr>
                <w:rFonts w:cs="Arial"/>
                <w:color w:val="000000"/>
              </w:rPr>
            </w:pPr>
            <w:r w:rsidRPr="000C5DB4">
              <w:rPr>
                <w:rFonts w:cs="Arial"/>
                <w:color w:val="000000"/>
              </w:rPr>
              <w:t>-</w:t>
            </w:r>
          </w:p>
        </w:tc>
        <w:tc>
          <w:tcPr>
            <w:tcW w:w="1559" w:type="dxa"/>
            <w:tcBorders>
              <w:top w:val="nil"/>
              <w:left w:val="nil"/>
              <w:bottom w:val="nil"/>
              <w:right w:val="single" w:sz="4" w:space="0" w:color="auto"/>
            </w:tcBorders>
            <w:shd w:val="clear" w:color="auto" w:fill="auto"/>
            <w:noWrap/>
            <w:vAlign w:val="center"/>
            <w:hideMark/>
          </w:tcPr>
          <w:p w:rsidR="000C5DB4" w:rsidRPr="000C5DB4" w:rsidRDefault="000C5DB4" w:rsidP="000C5DB4">
            <w:pPr>
              <w:jc w:val="center"/>
              <w:rPr>
                <w:rFonts w:cs="Arial"/>
                <w:color w:val="000000"/>
              </w:rPr>
            </w:pPr>
            <w:r w:rsidRPr="000C5DB4">
              <w:rPr>
                <w:rFonts w:cs="Arial"/>
                <w:color w:val="000000"/>
              </w:rPr>
              <w:t>-</w:t>
            </w:r>
          </w:p>
        </w:tc>
        <w:tc>
          <w:tcPr>
            <w:tcW w:w="1276" w:type="dxa"/>
            <w:tcBorders>
              <w:top w:val="nil"/>
              <w:left w:val="nil"/>
              <w:bottom w:val="nil"/>
              <w:right w:val="single" w:sz="4" w:space="0" w:color="auto"/>
            </w:tcBorders>
            <w:shd w:val="clear" w:color="auto" w:fill="auto"/>
            <w:noWrap/>
            <w:vAlign w:val="center"/>
            <w:hideMark/>
          </w:tcPr>
          <w:p w:rsidR="000C5DB4" w:rsidRPr="000C5DB4" w:rsidRDefault="000C5DB4" w:rsidP="000C5DB4">
            <w:pPr>
              <w:jc w:val="center"/>
              <w:rPr>
                <w:rFonts w:cs="Arial"/>
                <w:color w:val="000000"/>
              </w:rPr>
            </w:pPr>
            <w:r w:rsidRPr="000C5DB4">
              <w:rPr>
                <w:rFonts w:cs="Arial"/>
                <w:color w:val="000000"/>
              </w:rPr>
              <w:t>167.00</w:t>
            </w:r>
          </w:p>
        </w:tc>
      </w:tr>
      <w:tr w:rsidR="000C5DB4" w:rsidRPr="000C5DB4" w:rsidTr="00AD67B3">
        <w:trPr>
          <w:trHeight w:val="59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5DB4" w:rsidRPr="000C5DB4" w:rsidRDefault="000C5DB4" w:rsidP="000C5DB4">
            <w:pPr>
              <w:rPr>
                <w:rFonts w:cs="Arial"/>
                <w:b/>
                <w:bCs/>
                <w:color w:val="000000"/>
              </w:rPr>
            </w:pPr>
            <w:r w:rsidRPr="000C5DB4">
              <w:rPr>
                <w:rFonts w:cs="Arial"/>
                <w:b/>
                <w:bCs/>
                <w:color w:val="000000"/>
              </w:rPr>
              <w:t xml:space="preserve">Total Borrowing </w:t>
            </w:r>
            <w:r w:rsidRPr="000C5DB4">
              <w:rPr>
                <w:rFonts w:cs="Arial"/>
                <w:b/>
                <w:bCs/>
                <w:color w:val="000000"/>
              </w:rPr>
              <w:br/>
              <w:t>&amp; PFI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5DB4" w:rsidRPr="000C5DB4" w:rsidRDefault="000C5DB4" w:rsidP="000C5DB4">
            <w:pPr>
              <w:jc w:val="center"/>
              <w:rPr>
                <w:rFonts w:cs="Arial"/>
                <w:b/>
                <w:bCs/>
                <w:color w:val="000000"/>
              </w:rPr>
            </w:pPr>
            <w:r w:rsidRPr="000C5DB4">
              <w:rPr>
                <w:rFonts w:cs="Arial"/>
                <w:b/>
                <w:bCs/>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C5DB4" w:rsidRPr="000C5DB4" w:rsidRDefault="000C5DB4" w:rsidP="000C5DB4">
            <w:pPr>
              <w:jc w:val="center"/>
              <w:rPr>
                <w:rFonts w:cs="Arial"/>
                <w:b/>
                <w:bCs/>
                <w:color w:val="000000"/>
              </w:rPr>
            </w:pPr>
            <w:r w:rsidRPr="000C5DB4">
              <w:rPr>
                <w:rFonts w:cs="Arial"/>
                <w:b/>
                <w:b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5DB4" w:rsidRPr="000C5DB4" w:rsidRDefault="000C5DB4" w:rsidP="000C5DB4">
            <w:pPr>
              <w:jc w:val="center"/>
              <w:rPr>
                <w:rFonts w:cs="Arial"/>
                <w:b/>
                <w:bCs/>
                <w:color w:val="000000"/>
              </w:rPr>
            </w:pPr>
            <w:r w:rsidRPr="000C5DB4">
              <w:rPr>
                <w:rFonts w:cs="Arial"/>
                <w:b/>
                <w:bCs/>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C5DB4" w:rsidRPr="000C5DB4" w:rsidRDefault="000C5DB4" w:rsidP="000C5DB4">
            <w:pPr>
              <w:jc w:val="center"/>
              <w:rPr>
                <w:rFonts w:cs="Arial"/>
                <w:b/>
                <w:bCs/>
                <w:color w:val="000000"/>
              </w:rPr>
            </w:pPr>
            <w:r w:rsidRPr="000C5DB4">
              <w:rPr>
                <w:rFonts w:cs="Arial"/>
                <w:b/>
                <w:bCs/>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C5DB4" w:rsidRPr="000C5DB4" w:rsidRDefault="000C5DB4" w:rsidP="000C5DB4">
            <w:pPr>
              <w:jc w:val="center"/>
              <w:rPr>
                <w:rFonts w:cs="Arial"/>
                <w:b/>
                <w:bCs/>
                <w:color w:val="000000"/>
              </w:rPr>
            </w:pPr>
            <w:r w:rsidRPr="000C5DB4">
              <w:rPr>
                <w:rFonts w:cs="Arial"/>
                <w:b/>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5DB4" w:rsidRPr="000C5DB4" w:rsidRDefault="000C5DB4" w:rsidP="000C5DB4">
            <w:pPr>
              <w:jc w:val="center"/>
              <w:rPr>
                <w:rFonts w:cs="Arial"/>
                <w:b/>
                <w:bCs/>
                <w:color w:val="000000"/>
              </w:rPr>
            </w:pPr>
            <w:r w:rsidRPr="000C5DB4">
              <w:rPr>
                <w:rFonts w:cs="Arial"/>
                <w:b/>
                <w:bCs/>
                <w:color w:val="000000"/>
              </w:rPr>
              <w:t>1,205.84</w:t>
            </w:r>
          </w:p>
        </w:tc>
      </w:tr>
    </w:tbl>
    <w:p w:rsidR="005D2A27" w:rsidRPr="000C5DB4" w:rsidRDefault="005E5354" w:rsidP="008337AA">
      <w:pPr>
        <w:ind w:hanging="11"/>
        <w:jc w:val="both"/>
        <w:rPr>
          <w:rFonts w:cs="Arial"/>
        </w:rPr>
      </w:pPr>
    </w:p>
    <w:p w:rsidR="005D2A27" w:rsidRPr="000C5DB4" w:rsidRDefault="005330E8" w:rsidP="008337AA">
      <w:pPr>
        <w:ind w:hanging="11"/>
        <w:jc w:val="both"/>
        <w:rPr>
          <w:rFonts w:cs="Arial"/>
          <w:sz w:val="18"/>
          <w:szCs w:val="18"/>
        </w:rPr>
      </w:pPr>
      <w:r w:rsidRPr="000C5DB4">
        <w:rPr>
          <w:rFonts w:cs="Arial"/>
          <w:sz w:val="18"/>
          <w:szCs w:val="18"/>
        </w:rPr>
        <w:t>* Police &amp; Crime Commissioners</w:t>
      </w:r>
    </w:p>
    <w:p w:rsidR="00CB6CC5" w:rsidRPr="00A412DE" w:rsidRDefault="005E5354" w:rsidP="008337AA">
      <w:pPr>
        <w:ind w:hanging="11"/>
        <w:jc w:val="both"/>
        <w:rPr>
          <w:rFonts w:cs="Arial"/>
          <w:highlight w:val="yellow"/>
        </w:rPr>
      </w:pPr>
    </w:p>
    <w:p w:rsidR="00F37AA3" w:rsidRPr="00A412DE" w:rsidRDefault="005E5354" w:rsidP="008337AA">
      <w:pPr>
        <w:ind w:hanging="11"/>
        <w:jc w:val="both"/>
        <w:rPr>
          <w:rFonts w:cs="Arial"/>
          <w:highlight w:val="yellow"/>
        </w:rPr>
      </w:pPr>
    </w:p>
    <w:p w:rsidR="00F970E3" w:rsidRDefault="008725D6" w:rsidP="00F970E3">
      <w:pPr>
        <w:jc w:val="both"/>
        <w:rPr>
          <w:rFonts w:cs="Arial"/>
          <w:color w:val="000000"/>
          <w:szCs w:val="24"/>
        </w:rPr>
      </w:pPr>
      <w:r w:rsidRPr="000C5DB4">
        <w:rPr>
          <w:rFonts w:cs="Arial"/>
          <w:color w:val="000000"/>
          <w:szCs w:val="24"/>
        </w:rPr>
        <w:t xml:space="preserve">The outstanding borrowing has </w:t>
      </w:r>
      <w:r w:rsidR="000C5DB4" w:rsidRPr="000C5DB4">
        <w:rPr>
          <w:rFonts w:cs="Arial"/>
          <w:color w:val="000000"/>
          <w:szCs w:val="24"/>
        </w:rPr>
        <w:t>reduced slightly by £4</w:t>
      </w:r>
      <w:r w:rsidRPr="000C5DB4">
        <w:rPr>
          <w:rFonts w:cs="Arial"/>
          <w:color w:val="000000"/>
          <w:szCs w:val="24"/>
        </w:rPr>
        <w:t xml:space="preserve">m in the period. This </w:t>
      </w:r>
      <w:r w:rsidR="00367FBE">
        <w:rPr>
          <w:rFonts w:cs="Arial"/>
          <w:color w:val="000000"/>
          <w:szCs w:val="24"/>
        </w:rPr>
        <w:t xml:space="preserve">reduction </w:t>
      </w:r>
      <w:r w:rsidRPr="000C5DB4">
        <w:rPr>
          <w:rFonts w:cs="Arial"/>
          <w:color w:val="000000"/>
          <w:szCs w:val="24"/>
        </w:rPr>
        <w:t xml:space="preserve">is due to the </w:t>
      </w:r>
      <w:r w:rsidR="00367FBE">
        <w:rPr>
          <w:rFonts w:cs="Arial"/>
          <w:color w:val="000000"/>
          <w:szCs w:val="24"/>
        </w:rPr>
        <w:t>de</w:t>
      </w:r>
      <w:r w:rsidRPr="000C5DB4">
        <w:rPr>
          <w:rFonts w:cs="Arial"/>
          <w:color w:val="000000"/>
          <w:szCs w:val="24"/>
        </w:rPr>
        <w:t>crease in sha</w:t>
      </w:r>
      <w:r w:rsidR="00367FBE">
        <w:rPr>
          <w:rFonts w:cs="Arial"/>
          <w:color w:val="000000"/>
          <w:szCs w:val="24"/>
        </w:rPr>
        <w:t>red investment scheme balances, offset largely by the</w:t>
      </w:r>
      <w:r w:rsidRPr="000C5DB4">
        <w:rPr>
          <w:rFonts w:cs="Arial"/>
          <w:color w:val="000000"/>
          <w:szCs w:val="24"/>
        </w:rPr>
        <w:t xml:space="preserve"> increase in borrowing with other local authorities</w:t>
      </w:r>
      <w:r w:rsidR="00F970E3">
        <w:rPr>
          <w:rFonts w:cs="Arial"/>
          <w:color w:val="000000"/>
          <w:szCs w:val="24"/>
        </w:rPr>
        <w:t xml:space="preserve">. Most of the new borrowing has been to replace </w:t>
      </w:r>
      <w:r w:rsidRPr="000C5DB4">
        <w:rPr>
          <w:rFonts w:cs="Arial"/>
          <w:color w:val="000000"/>
          <w:szCs w:val="24"/>
        </w:rPr>
        <w:t xml:space="preserve">short term loans which </w:t>
      </w:r>
      <w:r w:rsidR="00F970E3">
        <w:rPr>
          <w:rFonts w:cs="Arial"/>
          <w:color w:val="000000"/>
          <w:szCs w:val="24"/>
        </w:rPr>
        <w:t>m</w:t>
      </w:r>
      <w:r w:rsidRPr="000C5DB4">
        <w:rPr>
          <w:rFonts w:cs="Arial"/>
          <w:color w:val="000000"/>
          <w:szCs w:val="24"/>
        </w:rPr>
        <w:t>ature</w:t>
      </w:r>
      <w:r w:rsidR="00F970E3">
        <w:rPr>
          <w:rFonts w:cs="Arial"/>
          <w:color w:val="000000"/>
          <w:szCs w:val="24"/>
        </w:rPr>
        <w:t xml:space="preserve">d in the period and </w:t>
      </w:r>
      <w:r w:rsidR="00C70AAC">
        <w:rPr>
          <w:rFonts w:cs="Arial"/>
          <w:color w:val="000000"/>
          <w:szCs w:val="24"/>
        </w:rPr>
        <w:t xml:space="preserve">in </w:t>
      </w:r>
      <w:r w:rsidR="00F970E3">
        <w:rPr>
          <w:rFonts w:cs="Arial"/>
          <w:color w:val="000000"/>
          <w:szCs w:val="24"/>
        </w:rPr>
        <w:t xml:space="preserve">line with </w:t>
      </w:r>
      <w:r w:rsidR="00F9468D">
        <w:rPr>
          <w:rFonts w:cs="Arial"/>
          <w:color w:val="000000"/>
          <w:szCs w:val="24"/>
        </w:rPr>
        <w:t xml:space="preserve">the </w:t>
      </w:r>
      <w:r w:rsidR="00F970E3">
        <w:rPr>
          <w:rFonts w:cs="Arial"/>
          <w:color w:val="000000"/>
          <w:szCs w:val="24"/>
        </w:rPr>
        <w:t>current policy have been short term</w:t>
      </w:r>
      <w:r w:rsidR="00F9468D">
        <w:rPr>
          <w:rFonts w:cs="Arial"/>
          <w:color w:val="000000"/>
          <w:szCs w:val="24"/>
        </w:rPr>
        <w:t xml:space="preserve"> in</w:t>
      </w:r>
      <w:r w:rsidR="00F970E3">
        <w:rPr>
          <w:rFonts w:cs="Arial"/>
          <w:color w:val="000000"/>
          <w:szCs w:val="24"/>
        </w:rPr>
        <w:t xml:space="preserve"> nature.</w:t>
      </w:r>
    </w:p>
    <w:p w:rsidR="00682572" w:rsidRPr="000C5DB4" w:rsidRDefault="00F970E3" w:rsidP="00F970E3">
      <w:pPr>
        <w:jc w:val="both"/>
        <w:rPr>
          <w:rFonts w:cs="Arial"/>
          <w:color w:val="000000"/>
          <w:szCs w:val="24"/>
        </w:rPr>
      </w:pPr>
      <w:r>
        <w:rPr>
          <w:rFonts w:cs="Arial"/>
          <w:color w:val="000000"/>
          <w:szCs w:val="24"/>
        </w:rPr>
        <w:t xml:space="preserve"> </w:t>
      </w:r>
    </w:p>
    <w:p w:rsidR="003413AB" w:rsidRPr="000C5DB4" w:rsidRDefault="008725D6" w:rsidP="00931724">
      <w:pPr>
        <w:jc w:val="both"/>
        <w:rPr>
          <w:rFonts w:cs="Arial"/>
          <w:color w:val="000000"/>
          <w:szCs w:val="24"/>
        </w:rPr>
      </w:pPr>
      <w:r w:rsidRPr="000C5DB4">
        <w:rPr>
          <w:rFonts w:cs="Arial"/>
          <w:color w:val="000000"/>
          <w:szCs w:val="24"/>
        </w:rPr>
        <w:t>Total borrowing now stands at £1.20</w:t>
      </w:r>
      <w:r w:rsidR="000C5DB4" w:rsidRPr="000C5DB4">
        <w:rPr>
          <w:rFonts w:cs="Arial"/>
          <w:color w:val="000000"/>
          <w:szCs w:val="24"/>
        </w:rPr>
        <w:t>6</w:t>
      </w:r>
      <w:r w:rsidRPr="000C5DB4">
        <w:rPr>
          <w:rFonts w:cs="Arial"/>
          <w:color w:val="000000"/>
          <w:szCs w:val="24"/>
        </w:rPr>
        <w:t xml:space="preserve">bn including the financing of £167m of assets through remaining PFI schemes. </w:t>
      </w:r>
    </w:p>
    <w:p w:rsidR="00D14083" w:rsidRPr="00A412DE" w:rsidRDefault="005E5354" w:rsidP="00931724">
      <w:pPr>
        <w:jc w:val="both"/>
        <w:rPr>
          <w:rFonts w:cs="Arial"/>
          <w:color w:val="000000"/>
          <w:szCs w:val="24"/>
          <w:highlight w:val="yellow"/>
        </w:rPr>
      </w:pPr>
    </w:p>
    <w:p w:rsidR="003303E9" w:rsidRPr="00EC1F4C" w:rsidRDefault="008725D6" w:rsidP="00931724">
      <w:pPr>
        <w:jc w:val="both"/>
        <w:rPr>
          <w:rFonts w:cs="Arial"/>
        </w:rPr>
      </w:pPr>
      <w:r w:rsidRPr="00EC1F4C">
        <w:rPr>
          <w:rFonts w:cs="Arial"/>
          <w:szCs w:val="24"/>
        </w:rPr>
        <w:t>The graph below shows the level of debt for the current financial year compared with the prudential indicator operational and authorised boundaries. The</w:t>
      </w:r>
      <w:r w:rsidRPr="00EC1F4C">
        <w:rPr>
          <w:rFonts w:cs="Arial"/>
        </w:rPr>
        <w:t xml:space="preserve"> debt shown from 1</w:t>
      </w:r>
      <w:r w:rsidRPr="00EC1F4C">
        <w:rPr>
          <w:rFonts w:cs="Arial"/>
          <w:vertAlign w:val="superscript"/>
        </w:rPr>
        <w:t>st</w:t>
      </w:r>
      <w:r w:rsidRPr="00EC1F4C">
        <w:rPr>
          <w:rFonts w:cs="Arial"/>
        </w:rPr>
        <w:t xml:space="preserve"> </w:t>
      </w:r>
      <w:r w:rsidR="00EC1F4C" w:rsidRPr="00EC1F4C">
        <w:rPr>
          <w:rFonts w:cs="Arial"/>
        </w:rPr>
        <w:t xml:space="preserve">December </w:t>
      </w:r>
      <w:r w:rsidRPr="00EC1F4C">
        <w:rPr>
          <w:rFonts w:cs="Arial"/>
        </w:rPr>
        <w:t>2016 represents the debt position if no maturing debt was replaced rather than an estimate of the expected position.</w:t>
      </w:r>
    </w:p>
    <w:p w:rsidR="007F2C42" w:rsidRDefault="005E5354" w:rsidP="00931724">
      <w:pPr>
        <w:jc w:val="both"/>
        <w:rPr>
          <w:rFonts w:cs="Arial"/>
          <w:highlight w:val="yellow"/>
        </w:rPr>
      </w:pPr>
    </w:p>
    <w:p w:rsidR="00F66AB3" w:rsidRPr="00A412DE" w:rsidRDefault="00F66AB3" w:rsidP="00931724">
      <w:pPr>
        <w:jc w:val="both"/>
        <w:rPr>
          <w:rFonts w:cs="Arial"/>
          <w:highlight w:val="yellow"/>
        </w:rPr>
      </w:pPr>
    </w:p>
    <w:p w:rsidR="007F2C42" w:rsidRPr="00A412DE" w:rsidRDefault="005E5354" w:rsidP="00931724">
      <w:pPr>
        <w:jc w:val="both"/>
        <w:rPr>
          <w:rFonts w:cs="Arial"/>
          <w:highlight w:val="yellow"/>
        </w:rPr>
      </w:pPr>
    </w:p>
    <w:p w:rsidR="00007D5C" w:rsidRPr="00A412DE" w:rsidRDefault="005E5354" w:rsidP="008337AA">
      <w:pPr>
        <w:jc w:val="both"/>
        <w:rPr>
          <w:rFonts w:cs="Arial"/>
          <w:highlight w:val="yellow"/>
        </w:rPr>
      </w:pPr>
    </w:p>
    <w:p w:rsidR="00D9786C" w:rsidRPr="00A412DE" w:rsidRDefault="005E5354" w:rsidP="008337AA">
      <w:pPr>
        <w:jc w:val="both"/>
        <w:rPr>
          <w:rFonts w:cs="Arial"/>
          <w:highlight w:val="yellow"/>
        </w:rPr>
      </w:pPr>
    </w:p>
    <w:p w:rsidR="00273E89" w:rsidRDefault="005E5354" w:rsidP="008337AA">
      <w:pPr>
        <w:jc w:val="both"/>
        <w:rPr>
          <w:rFonts w:cs="Arial"/>
          <w:highlight w:val="yellow"/>
        </w:rPr>
      </w:pPr>
    </w:p>
    <w:p w:rsidR="003C6D0F" w:rsidRDefault="00EC1F4C" w:rsidP="008337AA">
      <w:pPr>
        <w:jc w:val="both"/>
        <w:rPr>
          <w:rFonts w:cs="Arial"/>
          <w:highlight w:val="yellow"/>
        </w:rPr>
      </w:pPr>
      <w:r>
        <w:rPr>
          <w:noProof/>
        </w:rPr>
        <w:lastRenderedPageBreak/>
        <w:drawing>
          <wp:inline distT="0" distB="0" distL="0" distR="0" wp14:anchorId="3BA1E2E0" wp14:editId="593E6059">
            <wp:extent cx="5732145" cy="3068955"/>
            <wp:effectExtent l="0" t="0" r="190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3C6D0F" w:rsidRPr="00A412DE" w:rsidRDefault="003C6D0F" w:rsidP="008337AA">
      <w:pPr>
        <w:jc w:val="both"/>
        <w:rPr>
          <w:rFonts w:cs="Arial"/>
          <w:highlight w:val="yellow"/>
        </w:rPr>
      </w:pPr>
    </w:p>
    <w:p w:rsidR="009E5565" w:rsidRPr="00F970E3" w:rsidRDefault="008725D6" w:rsidP="009E5565">
      <w:pPr>
        <w:jc w:val="both"/>
        <w:rPr>
          <w:rFonts w:cs="Arial"/>
        </w:rPr>
      </w:pPr>
      <w:r w:rsidRPr="00F970E3">
        <w:rPr>
          <w:rFonts w:cs="Arial"/>
        </w:rPr>
        <w:t>The Authorised Limit is a prudent estimate of debt which reflects the Authority's capital expenditure plans and allows sufficient headroom for unusual cash movements.</w:t>
      </w:r>
    </w:p>
    <w:p w:rsidR="009E5565" w:rsidRPr="00F970E3" w:rsidRDefault="005E5354" w:rsidP="009E5565">
      <w:pPr>
        <w:jc w:val="both"/>
        <w:rPr>
          <w:rFonts w:cs="Arial"/>
        </w:rPr>
      </w:pPr>
    </w:p>
    <w:p w:rsidR="006C25A0" w:rsidRDefault="008725D6" w:rsidP="00D63D87">
      <w:pPr>
        <w:jc w:val="both"/>
        <w:rPr>
          <w:rFonts w:cs="Arial"/>
          <w:szCs w:val="24"/>
        </w:rPr>
      </w:pPr>
      <w:r w:rsidRPr="00F970E3">
        <w:rPr>
          <w:rFonts w:cs="Arial"/>
        </w:rPr>
        <w:t>The Operational Boundary is a prudent estimate of debt but no provision for unusual cash movements. It represents the estimated external debt arising as a consequence of the County Council's current plans and as such it is expected that the boundary could be breached but not on a regular basis.</w:t>
      </w:r>
      <w:r w:rsidR="00D63D87">
        <w:rPr>
          <w:rFonts w:cs="Arial"/>
        </w:rPr>
        <w:t xml:space="preserve"> </w:t>
      </w:r>
      <w:r w:rsidR="00B05D5E" w:rsidRPr="00B05D5E">
        <w:rPr>
          <w:rFonts w:cs="Arial"/>
          <w:szCs w:val="24"/>
        </w:rPr>
        <w:t>T</w:t>
      </w:r>
      <w:r w:rsidRPr="00B05D5E">
        <w:rPr>
          <w:rFonts w:cs="Arial"/>
          <w:szCs w:val="24"/>
        </w:rPr>
        <w:t xml:space="preserve">otal debt </w:t>
      </w:r>
      <w:r w:rsidR="00B05D5E" w:rsidRPr="00B05D5E">
        <w:rPr>
          <w:rFonts w:cs="Arial"/>
          <w:szCs w:val="24"/>
        </w:rPr>
        <w:t>for the period</w:t>
      </w:r>
      <w:r w:rsidRPr="00B05D5E">
        <w:rPr>
          <w:rFonts w:cs="Arial"/>
          <w:szCs w:val="24"/>
        </w:rPr>
        <w:t xml:space="preserve"> has remained below the Operational Boundary. </w:t>
      </w:r>
    </w:p>
    <w:p w:rsidR="00D63D87" w:rsidRPr="00F970E3" w:rsidRDefault="00D63D87" w:rsidP="00D63D87">
      <w:pPr>
        <w:jc w:val="both"/>
        <w:rPr>
          <w:rFonts w:cs="Arial"/>
        </w:rPr>
      </w:pPr>
    </w:p>
    <w:p w:rsidR="006C1AAD" w:rsidRPr="000C5DB4" w:rsidRDefault="008725D6" w:rsidP="008337AA">
      <w:pPr>
        <w:jc w:val="both"/>
        <w:rPr>
          <w:rFonts w:cs="Arial"/>
          <w:b/>
          <w:color w:val="000000"/>
          <w:szCs w:val="24"/>
        </w:rPr>
      </w:pPr>
      <w:r w:rsidRPr="000C5DB4">
        <w:rPr>
          <w:rFonts w:cs="Arial"/>
          <w:color w:val="000000"/>
          <w:szCs w:val="24"/>
        </w:rPr>
        <w:t xml:space="preserve">The current interest rate payable on debt </w:t>
      </w:r>
      <w:r w:rsidR="00044712">
        <w:rPr>
          <w:rFonts w:cs="Arial"/>
          <w:color w:val="000000"/>
          <w:szCs w:val="24"/>
        </w:rPr>
        <w:t xml:space="preserve">as </w:t>
      </w:r>
      <w:r w:rsidRPr="000C5DB4">
        <w:rPr>
          <w:rFonts w:cs="Arial"/>
          <w:color w:val="000000"/>
          <w:szCs w:val="24"/>
        </w:rPr>
        <w:t>measured by Arlingclose</w:t>
      </w:r>
      <w:r w:rsidR="000C5DB4" w:rsidRPr="000C5DB4">
        <w:rPr>
          <w:rFonts w:cs="Arial"/>
          <w:color w:val="000000"/>
          <w:szCs w:val="24"/>
        </w:rPr>
        <w:t xml:space="preserve"> Ltd is 1.78</w:t>
      </w:r>
      <w:r w:rsidRPr="000C5DB4">
        <w:rPr>
          <w:rFonts w:cs="Arial"/>
          <w:color w:val="000000"/>
          <w:szCs w:val="24"/>
        </w:rPr>
        <w:t>%. The most recent benchmarking figure available of the average rate for all Arlingclose clients (as measured on 31</w:t>
      </w:r>
      <w:r w:rsidRPr="000C5DB4">
        <w:rPr>
          <w:rFonts w:cs="Arial"/>
          <w:color w:val="000000"/>
          <w:szCs w:val="24"/>
          <w:vertAlign w:val="superscript"/>
        </w:rPr>
        <w:t>st</w:t>
      </w:r>
      <w:r w:rsidRPr="000C5DB4">
        <w:rPr>
          <w:rFonts w:cs="Arial"/>
          <w:color w:val="000000"/>
          <w:szCs w:val="24"/>
        </w:rPr>
        <w:t xml:space="preserve"> March 2016) is 3.94%.</w:t>
      </w:r>
    </w:p>
    <w:p w:rsidR="006C293A" w:rsidRPr="00A412DE" w:rsidRDefault="005E5354" w:rsidP="008337AA">
      <w:pPr>
        <w:jc w:val="both"/>
        <w:rPr>
          <w:rFonts w:cs="Arial"/>
          <w:b/>
          <w:highlight w:val="yellow"/>
        </w:rPr>
      </w:pPr>
    </w:p>
    <w:p w:rsidR="006C293A" w:rsidRPr="000C5DB4" w:rsidRDefault="008725D6" w:rsidP="006C293A">
      <w:pPr>
        <w:rPr>
          <w:b/>
        </w:rPr>
      </w:pPr>
      <w:r w:rsidRPr="000C5DB4">
        <w:rPr>
          <w:b/>
        </w:rPr>
        <w:t>4. Budget Monitoring Position</w:t>
      </w:r>
    </w:p>
    <w:p w:rsidR="006C1AAD" w:rsidRPr="000C5DB4" w:rsidRDefault="008725D6" w:rsidP="006C293A">
      <w:r w:rsidRPr="000C5DB4">
        <w:rPr>
          <w:b/>
        </w:rPr>
        <w:t xml:space="preserve"> </w:t>
      </w:r>
    </w:p>
    <w:p w:rsidR="0098781D" w:rsidRPr="000C5DB4" w:rsidRDefault="008725D6" w:rsidP="008337AA">
      <w:pPr>
        <w:jc w:val="both"/>
        <w:rPr>
          <w:rFonts w:cs="Arial"/>
        </w:rPr>
      </w:pPr>
      <w:r w:rsidRPr="000C5DB4">
        <w:rPr>
          <w:rFonts w:cs="Arial"/>
        </w:rPr>
        <w:t xml:space="preserve">The net financing charges budget for 2016/17 is forecasted to be </w:t>
      </w:r>
      <w:r w:rsidR="000C5DB4" w:rsidRPr="000C5DB4">
        <w:rPr>
          <w:rFonts w:cs="Arial"/>
        </w:rPr>
        <w:t>£2</w:t>
      </w:r>
      <w:r w:rsidR="00703CE4">
        <w:rPr>
          <w:rFonts w:cs="Arial"/>
        </w:rPr>
        <w:t>6</w:t>
      </w:r>
      <w:r w:rsidR="000C5DB4" w:rsidRPr="000C5DB4">
        <w:rPr>
          <w:rFonts w:cs="Arial"/>
        </w:rPr>
        <w:t>.</w:t>
      </w:r>
      <w:r w:rsidR="00703CE4">
        <w:rPr>
          <w:rFonts w:cs="Arial"/>
        </w:rPr>
        <w:t>7</w:t>
      </w:r>
      <w:r w:rsidR="000C5DB4" w:rsidRPr="000C5DB4">
        <w:rPr>
          <w:rFonts w:cs="Arial"/>
        </w:rPr>
        <w:t>5</w:t>
      </w:r>
      <w:r w:rsidR="00703CE4">
        <w:rPr>
          <w:rFonts w:cs="Arial"/>
        </w:rPr>
        <w:t>6</w:t>
      </w:r>
      <w:r w:rsidRPr="000C5DB4">
        <w:rPr>
          <w:rFonts w:cs="Arial"/>
        </w:rPr>
        <w:t xml:space="preserve">m lower than </w:t>
      </w:r>
      <w:r w:rsidR="00C70AAC">
        <w:rPr>
          <w:rFonts w:cs="Arial"/>
        </w:rPr>
        <w:t xml:space="preserve">the full year </w:t>
      </w:r>
      <w:r w:rsidRPr="000C5DB4">
        <w:rPr>
          <w:rFonts w:cs="Arial"/>
        </w:rPr>
        <w:t>budget. The main reasons for this are:</w:t>
      </w:r>
    </w:p>
    <w:p w:rsidR="0098781D" w:rsidRPr="000C5DB4" w:rsidRDefault="005E5354" w:rsidP="008337AA">
      <w:pPr>
        <w:jc w:val="both"/>
        <w:rPr>
          <w:rFonts w:cs="Arial"/>
        </w:rPr>
      </w:pPr>
    </w:p>
    <w:p w:rsidR="0098781D" w:rsidRPr="000C5DB4" w:rsidRDefault="008725D6"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0C5DB4">
        <w:rPr>
          <w:rFonts w:eastAsia="Calibri" w:cs="Arial"/>
          <w:color w:val="000000"/>
          <w:szCs w:val="24"/>
          <w:lang w:eastAsia="en-US"/>
        </w:rPr>
        <w:t>Sale of bonds due to market movements during recent months.  This enabled some core Gilt bonds and other traded bonds to be sol</w:t>
      </w:r>
      <w:r w:rsidR="000C5DB4" w:rsidRPr="000C5DB4">
        <w:rPr>
          <w:rFonts w:eastAsia="Calibri" w:cs="Arial"/>
          <w:color w:val="000000"/>
          <w:szCs w:val="24"/>
          <w:lang w:eastAsia="en-US"/>
        </w:rPr>
        <w:t>d resulting in a gain of £</w:t>
      </w:r>
      <w:r w:rsidR="00703CE4">
        <w:rPr>
          <w:rFonts w:eastAsia="Calibri" w:cs="Arial"/>
          <w:color w:val="000000"/>
          <w:szCs w:val="24"/>
          <w:lang w:eastAsia="en-US"/>
        </w:rPr>
        <w:t>25</w:t>
      </w:r>
      <w:r w:rsidR="00703CE4" w:rsidRPr="000C5DB4">
        <w:rPr>
          <w:rFonts w:eastAsia="Calibri" w:cs="Arial"/>
          <w:color w:val="000000"/>
          <w:szCs w:val="24"/>
          <w:lang w:eastAsia="en-US"/>
        </w:rPr>
        <w:t>m</w:t>
      </w:r>
      <w:r w:rsidR="004F0725">
        <w:rPr>
          <w:rFonts w:eastAsia="Calibri" w:cs="Arial"/>
          <w:color w:val="000000"/>
          <w:szCs w:val="24"/>
          <w:lang w:eastAsia="en-US"/>
        </w:rPr>
        <w:t xml:space="preserve"> offset by a small reduction in interest receivable</w:t>
      </w:r>
      <w:r w:rsidRPr="000C5DB4">
        <w:rPr>
          <w:rFonts w:eastAsia="Calibri" w:cs="Arial"/>
          <w:color w:val="000000"/>
          <w:szCs w:val="24"/>
          <w:lang w:eastAsia="en-US"/>
        </w:rPr>
        <w:t>.</w:t>
      </w:r>
    </w:p>
    <w:p w:rsidR="004F0725" w:rsidRPr="000C5DB4" w:rsidRDefault="004F0725"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Pr>
          <w:rFonts w:eastAsia="Calibri" w:cs="Arial"/>
          <w:color w:val="000000"/>
          <w:szCs w:val="24"/>
          <w:lang w:eastAsia="en-US"/>
        </w:rPr>
        <w:t>There is a reduction of £1.954m in interest payable as a result of lower than anticipated borrowing.</w:t>
      </w:r>
    </w:p>
    <w:p w:rsidR="000331F9" w:rsidRPr="000C5DB4" w:rsidRDefault="005E5354" w:rsidP="008337AA">
      <w:pPr>
        <w:jc w:val="both"/>
        <w:rPr>
          <w:rFonts w:cs="Arial"/>
        </w:rPr>
      </w:pPr>
    </w:p>
    <w:p w:rsidR="002F0B22" w:rsidRDefault="008725D6" w:rsidP="008337AA">
      <w:pPr>
        <w:jc w:val="both"/>
        <w:rPr>
          <w:rFonts w:cs="Arial"/>
          <w:szCs w:val="24"/>
        </w:rPr>
      </w:pPr>
      <w:r w:rsidRPr="000C5DB4">
        <w:rPr>
          <w:rFonts w:cs="Arial"/>
          <w:szCs w:val="24"/>
        </w:rPr>
        <w:t>This position is kept under regular review taking account both of ongoing performance and also market movements. The forecast is provided to the Director of Financial Resources on a monthly basis.</w:t>
      </w:r>
    </w:p>
    <w:p w:rsidR="00B05D5E" w:rsidRDefault="00B05D5E" w:rsidP="008337AA">
      <w:pPr>
        <w:jc w:val="both"/>
        <w:rPr>
          <w:rFonts w:cs="Arial"/>
          <w:szCs w:val="24"/>
        </w:rPr>
      </w:pPr>
    </w:p>
    <w:p w:rsidR="00B05D5E" w:rsidRDefault="00B05D5E" w:rsidP="008337AA">
      <w:pPr>
        <w:jc w:val="both"/>
        <w:rPr>
          <w:rFonts w:cs="Arial"/>
          <w:szCs w:val="24"/>
        </w:rPr>
      </w:pPr>
    </w:p>
    <w:p w:rsidR="00B05D5E" w:rsidRDefault="00B05D5E" w:rsidP="008337AA">
      <w:pPr>
        <w:jc w:val="both"/>
        <w:rPr>
          <w:rFonts w:cs="Arial"/>
          <w:szCs w:val="24"/>
        </w:rPr>
      </w:pPr>
    </w:p>
    <w:p w:rsidR="00B05D5E" w:rsidRPr="000C5DB4" w:rsidRDefault="00B05D5E" w:rsidP="008337AA">
      <w:pPr>
        <w:jc w:val="both"/>
        <w:rPr>
          <w:rFonts w:cs="Arial"/>
          <w:b/>
          <w:color w:val="000000"/>
          <w:szCs w:val="24"/>
        </w:rPr>
      </w:pPr>
    </w:p>
    <w:p w:rsidR="00094ADE" w:rsidRPr="00A412DE" w:rsidRDefault="005E5354">
      <w:pPr>
        <w:rPr>
          <w:rFonts w:cs="Arial"/>
          <w:b/>
          <w:szCs w:val="24"/>
          <w:highlight w:val="yellow"/>
          <w:lang w:eastAsia="en-US"/>
        </w:rPr>
      </w:pPr>
    </w:p>
    <w:p w:rsidR="00C0388E" w:rsidRPr="00F970E3" w:rsidRDefault="008725D6" w:rsidP="006C293A">
      <w:pPr>
        <w:pStyle w:val="ListParagraph"/>
        <w:ind w:left="0"/>
        <w:jc w:val="both"/>
        <w:rPr>
          <w:rFonts w:cs="Arial"/>
          <w:color w:val="000000"/>
          <w:szCs w:val="24"/>
        </w:rPr>
      </w:pPr>
      <w:r w:rsidRPr="00F970E3">
        <w:rPr>
          <w:rFonts w:cs="Arial"/>
          <w:b/>
          <w:szCs w:val="24"/>
        </w:rPr>
        <w:lastRenderedPageBreak/>
        <w:t>5. Prudential Indicators 2016/17</w:t>
      </w:r>
    </w:p>
    <w:p w:rsidR="009071F8" w:rsidRPr="00F970E3" w:rsidRDefault="008725D6" w:rsidP="00267737">
      <w:pPr>
        <w:jc w:val="both"/>
        <w:rPr>
          <w:rFonts w:cs="Arial"/>
          <w:b/>
          <w:szCs w:val="24"/>
        </w:rPr>
      </w:pPr>
      <w:r w:rsidRPr="00F970E3">
        <w:rPr>
          <w:rFonts w:cs="Arial"/>
          <w:szCs w:val="24"/>
        </w:rPr>
        <w:t>The Local Government Act 2003 and supporting regulations require the County Council to have regard to the prudential code and to set prudential indicators to ensure the County Council's capital investment plans are affordable, prudent and sustainable.</w:t>
      </w:r>
    </w:p>
    <w:p w:rsidR="00267737" w:rsidRPr="00F970E3" w:rsidRDefault="005E5354" w:rsidP="008337AA">
      <w:pPr>
        <w:jc w:val="both"/>
        <w:rPr>
          <w:rFonts w:cs="Arial"/>
          <w:b/>
          <w:szCs w:val="24"/>
        </w:rPr>
      </w:pPr>
    </w:p>
    <w:p w:rsidR="009071F8" w:rsidRPr="00F970E3" w:rsidRDefault="008725D6" w:rsidP="008337AA">
      <w:pPr>
        <w:jc w:val="both"/>
        <w:rPr>
          <w:rFonts w:cs="Arial"/>
          <w:szCs w:val="24"/>
        </w:rPr>
      </w:pPr>
      <w:r w:rsidRPr="00F970E3">
        <w:rPr>
          <w:rFonts w:cs="Arial"/>
          <w:szCs w:val="24"/>
        </w:rPr>
        <w:t xml:space="preserve">The County Council </w:t>
      </w:r>
      <w:r w:rsidR="003151B0">
        <w:rPr>
          <w:rFonts w:cs="Arial"/>
          <w:szCs w:val="24"/>
        </w:rPr>
        <w:t>is</w:t>
      </w:r>
      <w:r w:rsidRPr="00F970E3">
        <w:rPr>
          <w:rFonts w:cs="Arial"/>
          <w:szCs w:val="24"/>
        </w:rPr>
        <w:t xml:space="preserve"> within the</w:t>
      </w:r>
      <w:r w:rsidR="003151B0">
        <w:rPr>
          <w:rFonts w:cs="Arial"/>
          <w:szCs w:val="24"/>
        </w:rPr>
        <w:t>se</w:t>
      </w:r>
      <w:r w:rsidRPr="00F970E3">
        <w:rPr>
          <w:rFonts w:cs="Arial"/>
          <w:szCs w:val="24"/>
        </w:rPr>
        <w:t xml:space="preserve"> Prudential Indicators as detailed in Annex 1.</w:t>
      </w:r>
    </w:p>
    <w:p w:rsidR="004F6200" w:rsidRPr="00A412DE" w:rsidRDefault="005E5354" w:rsidP="008337AA">
      <w:pPr>
        <w:jc w:val="both"/>
        <w:rPr>
          <w:rFonts w:cs="Arial"/>
          <w:bCs/>
          <w:szCs w:val="24"/>
          <w:highlight w:val="yellow"/>
        </w:rPr>
      </w:pPr>
    </w:p>
    <w:p w:rsidR="009D4D55" w:rsidRPr="00F970E3" w:rsidRDefault="0019395F" w:rsidP="009D4D55">
      <w:pPr>
        <w:jc w:val="both"/>
        <w:rPr>
          <w:rFonts w:cs="Arial"/>
          <w:b/>
          <w:bCs/>
          <w:szCs w:val="24"/>
        </w:rPr>
      </w:pPr>
      <w:r>
        <w:rPr>
          <w:rFonts w:cs="Arial"/>
          <w:b/>
          <w:bCs/>
          <w:szCs w:val="24"/>
        </w:rPr>
        <w:t>6</w:t>
      </w:r>
      <w:r w:rsidR="008725D6" w:rsidRPr="00F970E3">
        <w:rPr>
          <w:rFonts w:cs="Arial"/>
          <w:b/>
          <w:bCs/>
          <w:szCs w:val="24"/>
        </w:rPr>
        <w:t>. Economic Outlook</w:t>
      </w:r>
    </w:p>
    <w:p w:rsidR="004F6200" w:rsidRPr="00F970E3" w:rsidRDefault="005E5354" w:rsidP="009D4D55">
      <w:pPr>
        <w:jc w:val="both"/>
        <w:rPr>
          <w:rFonts w:cs="Arial"/>
          <w:bCs/>
          <w:szCs w:val="24"/>
        </w:rPr>
      </w:pPr>
    </w:p>
    <w:p w:rsidR="00061DED" w:rsidRPr="00F970E3" w:rsidRDefault="008725D6" w:rsidP="00061DED">
      <w:pPr>
        <w:jc w:val="both"/>
        <w:rPr>
          <w:rFonts w:cs="Arial"/>
          <w:bCs/>
          <w:szCs w:val="24"/>
        </w:rPr>
      </w:pPr>
      <w:r w:rsidRPr="00F970E3">
        <w:rPr>
          <w:rFonts w:cs="Arial"/>
          <w:bCs/>
          <w:szCs w:val="24"/>
        </w:rPr>
        <w:t>The economic uncertainty is set to continue</w:t>
      </w:r>
      <w:r w:rsidR="007F2F8F">
        <w:rPr>
          <w:rFonts w:cs="Arial"/>
          <w:bCs/>
          <w:szCs w:val="24"/>
        </w:rPr>
        <w:t>. With this outlook t</w:t>
      </w:r>
      <w:r w:rsidRPr="00F970E3">
        <w:rPr>
          <w:rFonts w:cs="Arial"/>
          <w:szCs w:val="24"/>
        </w:rPr>
        <w:t xml:space="preserve">he County Council's </w:t>
      </w:r>
      <w:r w:rsidRPr="00F970E3">
        <w:rPr>
          <w:rFonts w:cs="Arial"/>
          <w:bCs/>
          <w:szCs w:val="24"/>
        </w:rPr>
        <w:t xml:space="preserve">treasury management </w:t>
      </w:r>
      <w:r w:rsidR="00C70AAC">
        <w:rPr>
          <w:rFonts w:cs="Arial"/>
          <w:bCs/>
          <w:szCs w:val="24"/>
        </w:rPr>
        <w:t xml:space="preserve">advisers </w:t>
      </w:r>
      <w:r w:rsidRPr="00F970E3">
        <w:rPr>
          <w:rFonts w:cs="Arial"/>
          <w:bCs/>
          <w:szCs w:val="24"/>
        </w:rPr>
        <w:t xml:space="preserve">Arlingclose Ltd are predicting that in the short-term the economic and political uncertainty will likely dampen investment intentions and tighten credit availability, prompting lower activity levels and potentially a rise in unemployment. Their central forecast for the base rate is that it is to remain at 0.25% for </w:t>
      </w:r>
      <w:r w:rsidR="00F970E3" w:rsidRPr="00F970E3">
        <w:rPr>
          <w:rFonts w:cs="Arial"/>
          <w:bCs/>
          <w:szCs w:val="24"/>
        </w:rPr>
        <w:t xml:space="preserve">not only </w:t>
      </w:r>
      <w:r w:rsidRPr="00F970E3">
        <w:rPr>
          <w:rFonts w:cs="Arial"/>
          <w:bCs/>
          <w:szCs w:val="24"/>
        </w:rPr>
        <w:t>the rest of the year</w:t>
      </w:r>
      <w:r w:rsidR="00F970E3" w:rsidRPr="00F970E3">
        <w:rPr>
          <w:rFonts w:cs="Arial"/>
          <w:bCs/>
          <w:szCs w:val="24"/>
        </w:rPr>
        <w:t xml:space="preserve"> but up to March 2020</w:t>
      </w:r>
      <w:r w:rsidRPr="00F970E3">
        <w:rPr>
          <w:rFonts w:cs="Arial"/>
          <w:bCs/>
          <w:szCs w:val="24"/>
        </w:rPr>
        <w:t>. However if there is to be any movement they predict that</w:t>
      </w:r>
      <w:r w:rsidR="00F970E3" w:rsidRPr="00F970E3">
        <w:rPr>
          <w:rFonts w:cs="Arial"/>
          <w:bCs/>
          <w:szCs w:val="24"/>
        </w:rPr>
        <w:t xml:space="preserve"> it will be a further reduction.</w:t>
      </w:r>
    </w:p>
    <w:p w:rsidR="00F970E3" w:rsidRPr="00F970E3" w:rsidRDefault="00F970E3" w:rsidP="00061DED">
      <w:pPr>
        <w:jc w:val="both"/>
        <w:rPr>
          <w:rFonts w:cs="Arial"/>
          <w:bCs/>
          <w:szCs w:val="24"/>
        </w:rPr>
      </w:pPr>
    </w:p>
    <w:p w:rsidR="000331F9" w:rsidRPr="00A412DE" w:rsidRDefault="008725D6" w:rsidP="00061DED">
      <w:pPr>
        <w:jc w:val="both"/>
        <w:rPr>
          <w:rFonts w:cs="Arial"/>
          <w:bCs/>
          <w:szCs w:val="24"/>
          <w:highlight w:val="yellow"/>
        </w:rPr>
      </w:pPr>
      <w:r w:rsidRPr="00F970E3">
        <w:rPr>
          <w:rFonts w:cs="Arial"/>
          <w:bCs/>
          <w:szCs w:val="24"/>
        </w:rPr>
        <w:t>Consequently, the</w:t>
      </w:r>
      <w:r w:rsidR="00C70AAC">
        <w:rPr>
          <w:rFonts w:cs="Arial"/>
          <w:bCs/>
          <w:szCs w:val="24"/>
        </w:rPr>
        <w:t xml:space="preserve"> current</w:t>
      </w:r>
      <w:r w:rsidRPr="00F970E3">
        <w:rPr>
          <w:rFonts w:cs="Arial"/>
          <w:bCs/>
          <w:szCs w:val="24"/>
        </w:rPr>
        <w:t xml:space="preserve"> Treasury Management Strategy is still</w:t>
      </w:r>
      <w:r w:rsidR="003151B0">
        <w:rPr>
          <w:rFonts w:cs="Arial"/>
          <w:bCs/>
          <w:szCs w:val="24"/>
        </w:rPr>
        <w:t xml:space="preserve"> considered to be</w:t>
      </w:r>
      <w:r w:rsidRPr="00F970E3">
        <w:rPr>
          <w:rFonts w:cs="Arial"/>
          <w:bCs/>
          <w:szCs w:val="24"/>
        </w:rPr>
        <w:t xml:space="preserve"> appropriate for the current market conditions</w:t>
      </w:r>
      <w:r w:rsidR="003151B0">
        <w:rPr>
          <w:rFonts w:cs="Arial"/>
          <w:bCs/>
          <w:szCs w:val="24"/>
        </w:rPr>
        <w:t>. T</w:t>
      </w:r>
      <w:r w:rsidRPr="00F970E3">
        <w:rPr>
          <w:rFonts w:cs="Arial"/>
          <w:bCs/>
          <w:szCs w:val="24"/>
        </w:rPr>
        <w:t>he level of borrowing and investments are in line with this strategy and within the indicator limits.</w:t>
      </w:r>
      <w:r w:rsidRPr="00A412DE">
        <w:rPr>
          <w:rFonts w:cs="Arial"/>
          <w:bCs/>
          <w:szCs w:val="24"/>
          <w:highlight w:val="yellow"/>
        </w:rPr>
        <w:br w:type="page"/>
      </w:r>
    </w:p>
    <w:p w:rsidR="000331F9" w:rsidRPr="00FA77D0" w:rsidRDefault="008725D6" w:rsidP="008337AA">
      <w:pPr>
        <w:jc w:val="both"/>
        <w:rPr>
          <w:rFonts w:cs="Arial"/>
          <w:b/>
          <w:bCs/>
        </w:rPr>
      </w:pPr>
      <w:r w:rsidRPr="00FA77D0">
        <w:rPr>
          <w:rFonts w:cs="Arial"/>
          <w:bCs/>
        </w:rPr>
        <w:lastRenderedPageBreak/>
        <w:tab/>
      </w:r>
      <w:r w:rsidRPr="00FA77D0">
        <w:rPr>
          <w:rFonts w:cs="Arial"/>
          <w:bCs/>
        </w:rPr>
        <w:tab/>
      </w:r>
      <w:r w:rsidRPr="00FA77D0">
        <w:rPr>
          <w:rFonts w:cs="Arial"/>
          <w:bCs/>
        </w:rPr>
        <w:tab/>
      </w:r>
      <w:r w:rsidRPr="00FA77D0">
        <w:rPr>
          <w:rFonts w:cs="Arial"/>
          <w:bCs/>
        </w:rPr>
        <w:tab/>
      </w:r>
      <w:r w:rsidRPr="00FA77D0">
        <w:rPr>
          <w:rFonts w:cs="Arial"/>
          <w:bCs/>
        </w:rPr>
        <w:tab/>
      </w:r>
      <w:r w:rsidRPr="00FA77D0">
        <w:rPr>
          <w:rFonts w:cs="Arial"/>
          <w:bCs/>
        </w:rPr>
        <w:tab/>
      </w:r>
      <w:r w:rsidRPr="00FA77D0">
        <w:rPr>
          <w:rFonts w:cs="Arial"/>
          <w:bCs/>
        </w:rPr>
        <w:tab/>
      </w:r>
      <w:r w:rsidRPr="00FA77D0">
        <w:rPr>
          <w:rFonts w:cs="Arial"/>
          <w:bCs/>
        </w:rPr>
        <w:tab/>
      </w:r>
      <w:r w:rsidRPr="00FA77D0">
        <w:rPr>
          <w:rFonts w:cs="Arial"/>
          <w:bCs/>
        </w:rPr>
        <w:tab/>
      </w:r>
      <w:r w:rsidRPr="00FA77D0">
        <w:rPr>
          <w:rFonts w:cs="Arial"/>
          <w:b/>
          <w:bCs/>
        </w:rPr>
        <w:tab/>
      </w:r>
      <w:r w:rsidRPr="00FA77D0">
        <w:rPr>
          <w:rFonts w:cs="Arial"/>
          <w:b/>
          <w:bCs/>
        </w:rPr>
        <w:tab/>
        <w:t>Annex 1</w:t>
      </w:r>
    </w:p>
    <w:p w:rsidR="00BA65AE" w:rsidRPr="00FA77D0" w:rsidRDefault="008725D6" w:rsidP="008337AA">
      <w:pPr>
        <w:jc w:val="both"/>
        <w:rPr>
          <w:rFonts w:cs="Arial"/>
          <w:b/>
          <w:bCs/>
          <w:u w:val="single"/>
        </w:rPr>
      </w:pPr>
      <w:r w:rsidRPr="00FA77D0">
        <w:rPr>
          <w:rFonts w:cs="Arial"/>
          <w:b/>
          <w:bCs/>
          <w:u w:val="single"/>
        </w:rPr>
        <w:t>Prudential Indicators</w:t>
      </w:r>
    </w:p>
    <w:p w:rsidR="00BA65AE" w:rsidRPr="00FA77D0" w:rsidRDefault="005E5354" w:rsidP="008337AA">
      <w:pPr>
        <w:jc w:val="both"/>
        <w:rPr>
          <w:rFonts w:cs="Arial"/>
          <w:b/>
          <w:bCs/>
          <w:u w:val="single"/>
        </w:rPr>
      </w:pPr>
    </w:p>
    <w:tbl>
      <w:tblPr>
        <w:tblW w:w="9776" w:type="dxa"/>
        <w:tblLook w:val="04A0" w:firstRow="1" w:lastRow="0" w:firstColumn="1" w:lastColumn="0" w:noHBand="0" w:noVBand="1"/>
      </w:tblPr>
      <w:tblGrid>
        <w:gridCol w:w="7225"/>
        <w:gridCol w:w="1275"/>
        <w:gridCol w:w="1276"/>
      </w:tblGrid>
      <w:tr w:rsidR="005519C2" w:rsidRPr="00FA77D0" w:rsidTr="00F9468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DFC" w:rsidRPr="00FA77D0" w:rsidRDefault="008725D6" w:rsidP="000B0DFC">
            <w:pPr>
              <w:rPr>
                <w:rFonts w:cs="Arial"/>
                <w:b/>
                <w:bCs/>
                <w:color w:val="000000"/>
                <w:szCs w:val="24"/>
              </w:rPr>
            </w:pPr>
            <w:r w:rsidRPr="00FA77D0">
              <w:rPr>
                <w:rFonts w:cs="Arial"/>
                <w:b/>
                <w:bCs/>
                <w:color w:val="000000"/>
                <w:szCs w:val="24"/>
              </w:rPr>
              <w:t>1. Adoption of CIPFA Treasury Management Code of Practice</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DFC" w:rsidRPr="00FA77D0" w:rsidRDefault="008725D6" w:rsidP="000B0DFC">
            <w:pPr>
              <w:jc w:val="center"/>
              <w:rPr>
                <w:rFonts w:cs="Arial"/>
                <w:color w:val="000000"/>
                <w:szCs w:val="24"/>
              </w:rPr>
            </w:pPr>
            <w:r w:rsidRPr="00FA77D0">
              <w:rPr>
                <w:rFonts w:cs="Arial"/>
                <w:color w:val="000000"/>
                <w:szCs w:val="24"/>
              </w:rPr>
              <w:t>Adopted</w:t>
            </w:r>
          </w:p>
        </w:tc>
      </w:tr>
      <w:tr w:rsidR="005519C2" w:rsidRPr="00A412DE" w:rsidTr="00F9468D">
        <w:trPr>
          <w:trHeight w:val="315"/>
        </w:trPr>
        <w:tc>
          <w:tcPr>
            <w:tcW w:w="7225" w:type="dxa"/>
            <w:tcBorders>
              <w:top w:val="nil"/>
              <w:left w:val="nil"/>
              <w:bottom w:val="nil"/>
              <w:right w:val="nil"/>
            </w:tcBorders>
            <w:shd w:val="clear" w:color="auto" w:fill="auto"/>
            <w:vAlign w:val="center"/>
            <w:hideMark/>
          </w:tcPr>
          <w:p w:rsidR="000B0DFC" w:rsidRPr="00A412DE" w:rsidRDefault="005E5354" w:rsidP="000B0DFC">
            <w:pPr>
              <w:jc w:val="center"/>
              <w:rPr>
                <w:rFonts w:cs="Arial"/>
                <w:color w:val="000000"/>
                <w:szCs w:val="24"/>
                <w:highlight w:val="yellow"/>
              </w:rPr>
            </w:pPr>
          </w:p>
        </w:tc>
        <w:tc>
          <w:tcPr>
            <w:tcW w:w="1275" w:type="dxa"/>
            <w:tcBorders>
              <w:top w:val="nil"/>
              <w:left w:val="nil"/>
              <w:bottom w:val="nil"/>
              <w:right w:val="nil"/>
            </w:tcBorders>
            <w:shd w:val="clear" w:color="auto" w:fill="auto"/>
            <w:noWrap/>
            <w:vAlign w:val="center"/>
            <w:hideMark/>
          </w:tcPr>
          <w:p w:rsidR="000B0DFC" w:rsidRPr="00A412DE" w:rsidRDefault="005E5354" w:rsidP="000B0DFC">
            <w:pPr>
              <w:rPr>
                <w:rFonts w:ascii="Times New Roman" w:hAnsi="Times New Roman"/>
                <w:sz w:val="20"/>
                <w:highlight w:val="yellow"/>
              </w:rPr>
            </w:pPr>
          </w:p>
        </w:tc>
        <w:tc>
          <w:tcPr>
            <w:tcW w:w="1276" w:type="dxa"/>
            <w:tcBorders>
              <w:top w:val="nil"/>
              <w:left w:val="nil"/>
              <w:bottom w:val="nil"/>
              <w:right w:val="nil"/>
            </w:tcBorders>
            <w:shd w:val="clear" w:color="auto" w:fill="auto"/>
            <w:noWrap/>
            <w:vAlign w:val="center"/>
            <w:hideMark/>
          </w:tcPr>
          <w:p w:rsidR="000B0DFC" w:rsidRPr="00A412DE" w:rsidRDefault="005E5354" w:rsidP="000B0DFC">
            <w:pPr>
              <w:jc w:val="center"/>
              <w:rPr>
                <w:rFonts w:ascii="Times New Roman" w:hAnsi="Times New Roman"/>
                <w:sz w:val="20"/>
                <w:highlight w:val="yellow"/>
              </w:rPr>
            </w:pPr>
          </w:p>
        </w:tc>
      </w:tr>
      <w:tr w:rsidR="0084613D" w:rsidRPr="00A412DE" w:rsidTr="00F9468D">
        <w:trPr>
          <w:trHeight w:val="315"/>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84613D" w:rsidRDefault="0084613D" w:rsidP="003151B0">
            <w:pPr>
              <w:rPr>
                <w:rFonts w:cs="Arial"/>
                <w:b/>
                <w:bCs/>
                <w:color w:val="000000"/>
              </w:rPr>
            </w:pPr>
            <w:r>
              <w:rPr>
                <w:rFonts w:cs="Arial"/>
                <w:b/>
                <w:bCs/>
                <w:color w:val="000000"/>
              </w:rPr>
              <w:t>2. Authorised limit for external debt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2016/17</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84613D" w:rsidRDefault="0084613D" w:rsidP="0084613D">
            <w:pPr>
              <w:jc w:val="center"/>
              <w:rPr>
                <w:rFonts w:cs="Arial"/>
                <w:b/>
                <w:bCs/>
                <w:color w:val="000000"/>
              </w:rPr>
            </w:pPr>
            <w:r>
              <w:rPr>
                <w:rFonts w:cs="Arial"/>
                <w:b/>
                <w:bCs/>
                <w:color w:val="000000"/>
              </w:rPr>
              <w:t>30th Nov Actual</w:t>
            </w:r>
          </w:p>
        </w:tc>
      </w:tr>
      <w:tr w:rsidR="0084613D" w:rsidRPr="00A412DE" w:rsidTr="00F9468D">
        <w:trPr>
          <w:trHeight w:val="9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84613D" w:rsidRPr="00A412DE" w:rsidRDefault="0084613D" w:rsidP="0084613D">
            <w:pPr>
              <w:rPr>
                <w:rFonts w:cs="Arial"/>
                <w:color w:val="000000"/>
                <w:szCs w:val="24"/>
                <w:highlight w:val="yellow"/>
              </w:rPr>
            </w:pPr>
            <w:r>
              <w:rPr>
                <w:rFonts w:cs="Arial"/>
                <w:color w:val="000000"/>
              </w:rPr>
              <w:t>The Authorised Limit is a prudent estimate of debt which reflects the Authority's capital expenditure plans and allows sufficient headroom for unusual cash movements.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613D" w:rsidRPr="00A412DE" w:rsidRDefault="0084613D" w:rsidP="0084613D">
            <w:pPr>
              <w:rPr>
                <w:rFonts w:cs="Arial"/>
                <w:b/>
                <w:bCs/>
                <w:color w:val="000000"/>
                <w:szCs w:val="24"/>
                <w:highlight w:val="yellow"/>
              </w:rPr>
            </w:pPr>
          </w:p>
        </w:tc>
        <w:tc>
          <w:tcPr>
            <w:tcW w:w="1276" w:type="dxa"/>
            <w:vMerge/>
            <w:tcBorders>
              <w:top w:val="single" w:sz="4" w:space="0" w:color="auto"/>
              <w:left w:val="single" w:sz="4" w:space="0" w:color="auto"/>
              <w:bottom w:val="nil"/>
              <w:right w:val="single" w:sz="4" w:space="0" w:color="auto"/>
            </w:tcBorders>
            <w:vAlign w:val="center"/>
            <w:hideMark/>
          </w:tcPr>
          <w:p w:rsidR="0084613D" w:rsidRPr="00A412DE" w:rsidRDefault="0084613D" w:rsidP="0084613D">
            <w:pPr>
              <w:rPr>
                <w:rFonts w:cs="Arial"/>
                <w:b/>
                <w:bCs/>
                <w:color w:val="000000"/>
                <w:szCs w:val="24"/>
                <w:highlight w:val="yellow"/>
              </w:rPr>
            </w:pPr>
          </w:p>
        </w:tc>
      </w:tr>
      <w:tr w:rsidR="0084613D" w:rsidRPr="00A412DE" w:rsidTr="00F9468D">
        <w:trPr>
          <w:trHeight w:val="315"/>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b/>
                <w:bCs/>
                <w:color w:val="000000"/>
              </w:rPr>
            </w:pPr>
            <w:r>
              <w:rPr>
                <w:rFonts w:cs="Arial"/>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color w:val="000000"/>
              </w:rPr>
            </w:pPr>
            <w:r>
              <w:rPr>
                <w:rFonts w:cs="Arial"/>
                <w:color w:val="000000"/>
              </w:rPr>
              <w:t>Borrowing</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1,037</w:t>
            </w: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color w:val="000000"/>
              </w:rPr>
            </w:pPr>
            <w:r>
              <w:rPr>
                <w:rFonts w:cs="Arial"/>
                <w:color w:val="000000"/>
              </w:rPr>
              <w:t>Other long term liabilities (PFI schemes)</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167</w:t>
            </w:r>
          </w:p>
        </w:tc>
      </w:tr>
      <w:tr w:rsidR="0084613D" w:rsidRPr="00A412DE" w:rsidTr="00F9468D">
        <w:trPr>
          <w:trHeight w:val="315"/>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b/>
                <w:bCs/>
                <w:color w:val="000000"/>
              </w:rPr>
            </w:pPr>
            <w:r>
              <w:rPr>
                <w:rFonts w:cs="Arial"/>
                <w:b/>
                <w:bCs/>
                <w:color w:val="000000"/>
              </w:rPr>
              <w:t>TOTAL</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1,450</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1,204</w:t>
            </w:r>
          </w:p>
        </w:tc>
      </w:tr>
      <w:tr w:rsidR="005519C2" w:rsidRPr="00A412DE" w:rsidTr="00F9468D">
        <w:trPr>
          <w:trHeight w:val="315"/>
        </w:trPr>
        <w:tc>
          <w:tcPr>
            <w:tcW w:w="7225" w:type="dxa"/>
            <w:tcBorders>
              <w:top w:val="nil"/>
              <w:left w:val="nil"/>
              <w:bottom w:val="nil"/>
              <w:right w:val="nil"/>
            </w:tcBorders>
            <w:shd w:val="clear" w:color="auto" w:fill="auto"/>
            <w:noWrap/>
            <w:vAlign w:val="center"/>
            <w:hideMark/>
          </w:tcPr>
          <w:p w:rsidR="000B0DFC" w:rsidRPr="00A412DE" w:rsidRDefault="005E5354" w:rsidP="000B0DFC">
            <w:pPr>
              <w:jc w:val="center"/>
              <w:rPr>
                <w:rFonts w:cs="Arial"/>
                <w:b/>
                <w:bCs/>
                <w:color w:val="000000"/>
                <w:szCs w:val="24"/>
                <w:highlight w:val="yellow"/>
              </w:rPr>
            </w:pPr>
          </w:p>
        </w:tc>
        <w:tc>
          <w:tcPr>
            <w:tcW w:w="1275" w:type="dxa"/>
            <w:tcBorders>
              <w:top w:val="nil"/>
              <w:left w:val="nil"/>
              <w:bottom w:val="nil"/>
              <w:right w:val="nil"/>
            </w:tcBorders>
            <w:shd w:val="clear" w:color="auto" w:fill="auto"/>
            <w:noWrap/>
            <w:vAlign w:val="center"/>
            <w:hideMark/>
          </w:tcPr>
          <w:p w:rsidR="000B0DFC" w:rsidRPr="00A412DE" w:rsidRDefault="005E5354" w:rsidP="000B0DFC">
            <w:pPr>
              <w:rPr>
                <w:rFonts w:ascii="Times New Roman" w:hAnsi="Times New Roman"/>
                <w:sz w:val="20"/>
                <w:highlight w:val="yellow"/>
              </w:rPr>
            </w:pPr>
          </w:p>
        </w:tc>
        <w:tc>
          <w:tcPr>
            <w:tcW w:w="1276" w:type="dxa"/>
            <w:tcBorders>
              <w:top w:val="nil"/>
              <w:left w:val="nil"/>
              <w:bottom w:val="nil"/>
              <w:right w:val="nil"/>
            </w:tcBorders>
            <w:shd w:val="clear" w:color="auto" w:fill="auto"/>
            <w:noWrap/>
            <w:vAlign w:val="center"/>
            <w:hideMark/>
          </w:tcPr>
          <w:p w:rsidR="000B0DFC" w:rsidRPr="00A412DE" w:rsidRDefault="005E5354" w:rsidP="000B0DFC">
            <w:pPr>
              <w:jc w:val="center"/>
              <w:rPr>
                <w:rFonts w:ascii="Times New Roman" w:hAnsi="Times New Roman"/>
                <w:sz w:val="20"/>
                <w:highlight w:val="yellow"/>
              </w:rPr>
            </w:pPr>
          </w:p>
        </w:tc>
      </w:tr>
      <w:tr w:rsidR="005519C2" w:rsidRPr="00A412DE" w:rsidTr="00F9468D">
        <w:trPr>
          <w:trHeight w:val="315"/>
        </w:trPr>
        <w:tc>
          <w:tcPr>
            <w:tcW w:w="7225" w:type="dxa"/>
            <w:tcBorders>
              <w:top w:val="nil"/>
              <w:left w:val="nil"/>
              <w:bottom w:val="nil"/>
              <w:right w:val="nil"/>
            </w:tcBorders>
            <w:shd w:val="clear" w:color="auto" w:fill="auto"/>
            <w:noWrap/>
            <w:vAlign w:val="center"/>
            <w:hideMark/>
          </w:tcPr>
          <w:p w:rsidR="000B0DFC" w:rsidRPr="00A412DE" w:rsidRDefault="005E5354" w:rsidP="000B0DFC">
            <w:pPr>
              <w:rPr>
                <w:rFonts w:ascii="Times New Roman" w:hAnsi="Times New Roman"/>
                <w:sz w:val="20"/>
                <w:highlight w:val="yellow"/>
              </w:rPr>
            </w:pPr>
          </w:p>
        </w:tc>
        <w:tc>
          <w:tcPr>
            <w:tcW w:w="1275" w:type="dxa"/>
            <w:tcBorders>
              <w:top w:val="nil"/>
              <w:left w:val="nil"/>
              <w:bottom w:val="nil"/>
              <w:right w:val="nil"/>
            </w:tcBorders>
            <w:shd w:val="clear" w:color="auto" w:fill="auto"/>
            <w:noWrap/>
            <w:vAlign w:val="bottom"/>
            <w:hideMark/>
          </w:tcPr>
          <w:p w:rsidR="000B0DFC" w:rsidRPr="00A412DE" w:rsidRDefault="005E5354" w:rsidP="000B0DFC">
            <w:pPr>
              <w:rPr>
                <w:rFonts w:ascii="Times New Roman" w:hAnsi="Times New Roman"/>
                <w:sz w:val="20"/>
                <w:highlight w:val="yellow"/>
              </w:rPr>
            </w:pPr>
          </w:p>
        </w:tc>
        <w:tc>
          <w:tcPr>
            <w:tcW w:w="1276" w:type="dxa"/>
            <w:tcBorders>
              <w:top w:val="nil"/>
              <w:left w:val="nil"/>
              <w:bottom w:val="nil"/>
              <w:right w:val="nil"/>
            </w:tcBorders>
            <w:shd w:val="clear" w:color="auto" w:fill="auto"/>
            <w:noWrap/>
            <w:vAlign w:val="bottom"/>
            <w:hideMark/>
          </w:tcPr>
          <w:p w:rsidR="000B0DFC" w:rsidRPr="00A412DE" w:rsidRDefault="005E5354" w:rsidP="000B0DFC">
            <w:pPr>
              <w:rPr>
                <w:rFonts w:ascii="Times New Roman" w:hAnsi="Times New Roman"/>
                <w:sz w:val="20"/>
                <w:highlight w:val="yellow"/>
              </w:rPr>
            </w:pPr>
          </w:p>
        </w:tc>
      </w:tr>
      <w:tr w:rsidR="0084613D" w:rsidRPr="00A412DE" w:rsidTr="00F9468D">
        <w:trPr>
          <w:trHeight w:val="300"/>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84613D" w:rsidRDefault="0084613D" w:rsidP="0084613D">
            <w:pPr>
              <w:rPr>
                <w:rFonts w:cs="Arial"/>
                <w:b/>
                <w:bCs/>
                <w:color w:val="000000"/>
              </w:rPr>
            </w:pPr>
            <w:r>
              <w:rPr>
                <w:rFonts w:cs="Arial"/>
                <w:b/>
                <w:bCs/>
                <w:color w:val="000000"/>
              </w:rPr>
              <w:t>3. Operational boundary for external debt</w:t>
            </w:r>
          </w:p>
        </w:tc>
        <w:tc>
          <w:tcPr>
            <w:tcW w:w="127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2016/17</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84613D" w:rsidRDefault="0084613D" w:rsidP="0084613D">
            <w:pPr>
              <w:jc w:val="center"/>
              <w:rPr>
                <w:rFonts w:cs="Arial"/>
                <w:b/>
                <w:bCs/>
                <w:color w:val="000000"/>
              </w:rPr>
            </w:pPr>
            <w:r>
              <w:rPr>
                <w:rFonts w:cs="Arial"/>
                <w:b/>
                <w:bCs/>
                <w:color w:val="000000"/>
              </w:rPr>
              <w:t>30th Nov Actual</w:t>
            </w:r>
          </w:p>
        </w:tc>
      </w:tr>
      <w:tr w:rsidR="0084613D" w:rsidRPr="00A412DE" w:rsidTr="00F9468D">
        <w:trPr>
          <w:trHeight w:val="12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84613D" w:rsidRPr="00A412DE" w:rsidRDefault="0084613D" w:rsidP="0084613D">
            <w:pPr>
              <w:rPr>
                <w:rFonts w:cs="Arial"/>
                <w:color w:val="000000"/>
                <w:szCs w:val="24"/>
                <w:highlight w:val="yellow"/>
              </w:rPr>
            </w:pPr>
            <w:r>
              <w:rPr>
                <w:rFonts w:cs="Arial"/>
                <w:color w:val="000000"/>
              </w:rPr>
              <w:t xml:space="preserve">The Operational Boundary is a prudent estimate of debt but </w:t>
            </w:r>
            <w:r w:rsidR="001C3A79">
              <w:rPr>
                <w:rFonts w:cs="Arial"/>
                <w:color w:val="000000"/>
              </w:rPr>
              <w:t xml:space="preserve">has </w:t>
            </w:r>
            <w:r>
              <w:rPr>
                <w:rFonts w:cs="Arial"/>
                <w:color w:val="000000"/>
              </w:rPr>
              <w:t>no provision for unusual cash movements. It represents the estimated maximum external debt arising as a consequence of the County Council's current plans.</w:t>
            </w:r>
          </w:p>
        </w:tc>
        <w:tc>
          <w:tcPr>
            <w:tcW w:w="1275" w:type="dxa"/>
            <w:vMerge/>
            <w:tcBorders>
              <w:top w:val="single" w:sz="4" w:space="0" w:color="auto"/>
              <w:left w:val="nil"/>
              <w:bottom w:val="single" w:sz="4" w:space="0" w:color="auto"/>
              <w:right w:val="single" w:sz="4" w:space="0" w:color="auto"/>
            </w:tcBorders>
            <w:vAlign w:val="center"/>
            <w:hideMark/>
          </w:tcPr>
          <w:p w:rsidR="0084613D" w:rsidRPr="00A412DE" w:rsidRDefault="0084613D" w:rsidP="0084613D">
            <w:pPr>
              <w:rPr>
                <w:rFonts w:cs="Arial"/>
                <w:b/>
                <w:bCs/>
                <w:color w:val="000000"/>
                <w:szCs w:val="24"/>
                <w:highlight w:val="yellow"/>
              </w:rPr>
            </w:pPr>
          </w:p>
        </w:tc>
        <w:tc>
          <w:tcPr>
            <w:tcW w:w="1276" w:type="dxa"/>
            <w:vMerge/>
            <w:tcBorders>
              <w:top w:val="single" w:sz="4" w:space="0" w:color="auto"/>
              <w:left w:val="single" w:sz="4" w:space="0" w:color="auto"/>
              <w:bottom w:val="nil"/>
              <w:right w:val="single" w:sz="4" w:space="0" w:color="auto"/>
            </w:tcBorders>
            <w:vAlign w:val="center"/>
            <w:hideMark/>
          </w:tcPr>
          <w:p w:rsidR="0084613D" w:rsidRPr="00A412DE" w:rsidRDefault="0084613D" w:rsidP="0084613D">
            <w:pPr>
              <w:rPr>
                <w:rFonts w:cs="Arial"/>
                <w:b/>
                <w:bCs/>
                <w:color w:val="000000"/>
                <w:szCs w:val="24"/>
                <w:highlight w:val="yellow"/>
              </w:rPr>
            </w:pP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b/>
                <w:bCs/>
                <w:color w:val="000000"/>
              </w:rPr>
            </w:pPr>
            <w:r>
              <w:rPr>
                <w:rFonts w:cs="Arial"/>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color w:val="000000"/>
              </w:rPr>
            </w:pPr>
            <w:r>
              <w:rPr>
                <w:rFonts w:cs="Arial"/>
                <w:color w:val="000000"/>
              </w:rPr>
              <w:t>Borrowing</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1,190</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w:t>
            </w:r>
            <w:r w:rsidR="00F9468D">
              <w:rPr>
                <w:rFonts w:cs="Arial"/>
                <w:color w:val="000000"/>
              </w:rPr>
              <w:t>,</w:t>
            </w:r>
            <w:r>
              <w:rPr>
                <w:rFonts w:cs="Arial"/>
                <w:color w:val="000000"/>
              </w:rPr>
              <w:t>037</w:t>
            </w: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color w:val="000000"/>
              </w:rPr>
            </w:pPr>
            <w:r>
              <w:rPr>
                <w:rFonts w:cs="Arial"/>
                <w:color w:val="000000"/>
              </w:rPr>
              <w:t>Other long term liabilities (PFI schemes)</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167</w:t>
            </w:r>
          </w:p>
        </w:tc>
      </w:tr>
      <w:tr w:rsidR="0084613D" w:rsidRPr="00A412DE" w:rsidTr="00F9468D">
        <w:trPr>
          <w:trHeight w:val="315"/>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b/>
                <w:bCs/>
                <w:color w:val="000000"/>
              </w:rPr>
            </w:pPr>
            <w:r>
              <w:rPr>
                <w:rFonts w:cs="Arial"/>
                <w:b/>
                <w:bCs/>
                <w:color w:val="000000"/>
              </w:rPr>
              <w:t>TOTAL</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1,370</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1,204</w:t>
            </w:r>
          </w:p>
        </w:tc>
      </w:tr>
      <w:tr w:rsidR="005519C2" w:rsidRPr="00A412DE" w:rsidTr="00F9468D">
        <w:trPr>
          <w:trHeight w:val="300"/>
        </w:trPr>
        <w:tc>
          <w:tcPr>
            <w:tcW w:w="7225" w:type="dxa"/>
            <w:tcBorders>
              <w:top w:val="nil"/>
              <w:left w:val="nil"/>
              <w:bottom w:val="nil"/>
              <w:right w:val="nil"/>
            </w:tcBorders>
            <w:shd w:val="clear" w:color="auto" w:fill="auto"/>
            <w:noWrap/>
            <w:vAlign w:val="bottom"/>
            <w:hideMark/>
          </w:tcPr>
          <w:p w:rsidR="000B0DFC" w:rsidRPr="00A412DE" w:rsidRDefault="005E5354" w:rsidP="000B0DFC">
            <w:pPr>
              <w:jc w:val="center"/>
              <w:rPr>
                <w:rFonts w:cs="Arial"/>
                <w:b/>
                <w:bCs/>
                <w:color w:val="000000"/>
                <w:szCs w:val="24"/>
                <w:highlight w:val="yellow"/>
              </w:rPr>
            </w:pPr>
          </w:p>
        </w:tc>
        <w:tc>
          <w:tcPr>
            <w:tcW w:w="1275" w:type="dxa"/>
            <w:tcBorders>
              <w:top w:val="nil"/>
              <w:left w:val="nil"/>
              <w:bottom w:val="nil"/>
              <w:right w:val="nil"/>
            </w:tcBorders>
            <w:shd w:val="clear" w:color="auto" w:fill="auto"/>
            <w:noWrap/>
            <w:vAlign w:val="bottom"/>
            <w:hideMark/>
          </w:tcPr>
          <w:p w:rsidR="000B0DFC" w:rsidRPr="00A412DE" w:rsidRDefault="005E5354" w:rsidP="000B0DFC">
            <w:pPr>
              <w:rPr>
                <w:rFonts w:ascii="Times New Roman" w:hAnsi="Times New Roman"/>
                <w:sz w:val="20"/>
                <w:highlight w:val="yellow"/>
              </w:rPr>
            </w:pPr>
          </w:p>
        </w:tc>
        <w:tc>
          <w:tcPr>
            <w:tcW w:w="1276" w:type="dxa"/>
            <w:tcBorders>
              <w:top w:val="nil"/>
              <w:left w:val="nil"/>
              <w:bottom w:val="nil"/>
              <w:right w:val="nil"/>
            </w:tcBorders>
            <w:shd w:val="clear" w:color="auto" w:fill="auto"/>
            <w:noWrap/>
            <w:vAlign w:val="bottom"/>
            <w:hideMark/>
          </w:tcPr>
          <w:p w:rsidR="000B0DFC" w:rsidRPr="00A412DE" w:rsidRDefault="005E5354" w:rsidP="000B0DFC">
            <w:pPr>
              <w:rPr>
                <w:rFonts w:ascii="Times New Roman" w:hAnsi="Times New Roman"/>
                <w:sz w:val="20"/>
                <w:highlight w:val="yellow"/>
              </w:rPr>
            </w:pPr>
          </w:p>
        </w:tc>
      </w:tr>
      <w:tr w:rsidR="005519C2" w:rsidRPr="00A412DE" w:rsidTr="00F9468D">
        <w:trPr>
          <w:trHeight w:val="300"/>
        </w:trPr>
        <w:tc>
          <w:tcPr>
            <w:tcW w:w="7225" w:type="dxa"/>
            <w:tcBorders>
              <w:top w:val="nil"/>
              <w:left w:val="nil"/>
              <w:bottom w:val="nil"/>
              <w:right w:val="nil"/>
            </w:tcBorders>
            <w:shd w:val="clear" w:color="auto" w:fill="auto"/>
            <w:noWrap/>
            <w:vAlign w:val="bottom"/>
            <w:hideMark/>
          </w:tcPr>
          <w:p w:rsidR="000B0DFC" w:rsidRPr="00A412DE" w:rsidRDefault="005E5354" w:rsidP="000B0DFC">
            <w:pPr>
              <w:rPr>
                <w:rFonts w:ascii="Times New Roman" w:hAnsi="Times New Roman"/>
                <w:sz w:val="20"/>
                <w:highlight w:val="yellow"/>
              </w:rPr>
            </w:pPr>
          </w:p>
        </w:tc>
        <w:tc>
          <w:tcPr>
            <w:tcW w:w="1275" w:type="dxa"/>
            <w:tcBorders>
              <w:top w:val="nil"/>
              <w:left w:val="nil"/>
              <w:bottom w:val="nil"/>
              <w:right w:val="nil"/>
            </w:tcBorders>
            <w:shd w:val="clear" w:color="auto" w:fill="auto"/>
            <w:noWrap/>
            <w:vAlign w:val="bottom"/>
            <w:hideMark/>
          </w:tcPr>
          <w:p w:rsidR="000B0DFC" w:rsidRPr="00A412DE" w:rsidRDefault="005E5354" w:rsidP="000B0DFC">
            <w:pPr>
              <w:rPr>
                <w:rFonts w:ascii="Times New Roman" w:hAnsi="Times New Roman"/>
                <w:sz w:val="20"/>
                <w:highlight w:val="yellow"/>
              </w:rPr>
            </w:pPr>
          </w:p>
        </w:tc>
        <w:tc>
          <w:tcPr>
            <w:tcW w:w="1276" w:type="dxa"/>
            <w:tcBorders>
              <w:top w:val="nil"/>
              <w:left w:val="nil"/>
              <w:bottom w:val="nil"/>
              <w:right w:val="nil"/>
            </w:tcBorders>
            <w:shd w:val="clear" w:color="auto" w:fill="auto"/>
            <w:noWrap/>
            <w:vAlign w:val="bottom"/>
            <w:hideMark/>
          </w:tcPr>
          <w:p w:rsidR="000B0DFC" w:rsidRPr="00A412DE" w:rsidRDefault="005E5354" w:rsidP="000B0DFC">
            <w:pPr>
              <w:rPr>
                <w:rFonts w:ascii="Times New Roman" w:hAnsi="Times New Roman"/>
                <w:sz w:val="20"/>
                <w:highlight w:val="yellow"/>
              </w:rPr>
            </w:pPr>
          </w:p>
        </w:tc>
      </w:tr>
      <w:tr w:rsidR="0084613D" w:rsidRPr="00A412DE" w:rsidTr="00F9468D">
        <w:trPr>
          <w:trHeight w:val="300"/>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84613D" w:rsidRDefault="0084613D" w:rsidP="0084613D">
            <w:pPr>
              <w:rPr>
                <w:rFonts w:cs="Arial"/>
                <w:b/>
                <w:bCs/>
                <w:color w:val="000000"/>
              </w:rPr>
            </w:pPr>
            <w:r>
              <w:rPr>
                <w:rFonts w:cs="Arial"/>
                <w:b/>
                <w:bCs/>
                <w:color w:val="000000"/>
              </w:rPr>
              <w:t>4. Capital Financing Requirement to Gross Debt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2016/17</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84613D" w:rsidRDefault="0084613D" w:rsidP="0084613D">
            <w:pPr>
              <w:jc w:val="center"/>
              <w:rPr>
                <w:rFonts w:cs="Arial"/>
                <w:b/>
                <w:bCs/>
                <w:color w:val="000000"/>
              </w:rPr>
            </w:pPr>
            <w:r>
              <w:rPr>
                <w:rFonts w:cs="Arial"/>
                <w:b/>
                <w:bCs/>
                <w:color w:val="000000"/>
              </w:rPr>
              <w:t>30th Nov Actual</w:t>
            </w:r>
          </w:p>
        </w:tc>
      </w:tr>
      <w:tr w:rsidR="0084613D" w:rsidRPr="00A412DE" w:rsidTr="00F9468D">
        <w:trPr>
          <w:trHeight w:val="18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84613D" w:rsidRPr="00A412DE" w:rsidRDefault="0084613D" w:rsidP="0084613D">
            <w:pPr>
              <w:rPr>
                <w:rFonts w:cs="Arial"/>
                <w:color w:val="000000"/>
                <w:szCs w:val="24"/>
                <w:highlight w:val="yellow"/>
              </w:rPr>
            </w:pPr>
            <w:r>
              <w:rPr>
                <w:rFonts w:cs="Arial"/>
                <w:color w:val="000000"/>
              </w:rPr>
              <w:t>The Capital Financing requirement is the underlying need to borrow for capital purposes. This is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613D" w:rsidRPr="00A412DE" w:rsidRDefault="0084613D" w:rsidP="0084613D">
            <w:pPr>
              <w:rPr>
                <w:rFonts w:cs="Arial"/>
                <w:b/>
                <w:bCs/>
                <w:color w:val="000000"/>
                <w:szCs w:val="24"/>
                <w:highlight w:val="yellow"/>
              </w:rPr>
            </w:pPr>
          </w:p>
        </w:tc>
        <w:tc>
          <w:tcPr>
            <w:tcW w:w="1276" w:type="dxa"/>
            <w:vMerge/>
            <w:tcBorders>
              <w:top w:val="single" w:sz="4" w:space="0" w:color="auto"/>
              <w:left w:val="single" w:sz="4" w:space="0" w:color="auto"/>
              <w:bottom w:val="nil"/>
              <w:right w:val="single" w:sz="4" w:space="0" w:color="auto"/>
            </w:tcBorders>
            <w:vAlign w:val="center"/>
            <w:hideMark/>
          </w:tcPr>
          <w:p w:rsidR="0084613D" w:rsidRPr="00A412DE" w:rsidRDefault="0084613D" w:rsidP="0084613D">
            <w:pPr>
              <w:rPr>
                <w:rFonts w:cs="Arial"/>
                <w:b/>
                <w:bCs/>
                <w:color w:val="000000"/>
                <w:szCs w:val="24"/>
                <w:highlight w:val="yellow"/>
              </w:rPr>
            </w:pPr>
          </w:p>
        </w:tc>
      </w:tr>
      <w:tr w:rsidR="0084613D" w:rsidRPr="00A412DE" w:rsidTr="00F9468D">
        <w:trPr>
          <w:trHeight w:val="315"/>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b/>
                <w:bCs/>
                <w:color w:val="000000"/>
              </w:rPr>
            </w:pPr>
            <w:r>
              <w:rPr>
                <w:rFonts w:cs="Arial"/>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Pr="00B05D5E" w:rsidRDefault="0084613D" w:rsidP="0084613D">
            <w:pPr>
              <w:rPr>
                <w:rFonts w:cs="Arial"/>
                <w:color w:val="000000"/>
              </w:rPr>
            </w:pPr>
            <w:r w:rsidRPr="00B05D5E">
              <w:rPr>
                <w:rFonts w:cs="Arial"/>
                <w:color w:val="000000"/>
              </w:rPr>
              <w:t>Capital Financing Requirement</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Pr="00B05D5E" w:rsidRDefault="0084613D" w:rsidP="0084613D">
            <w:pPr>
              <w:jc w:val="center"/>
              <w:rPr>
                <w:rFonts w:cs="Arial"/>
                <w:color w:val="000000"/>
              </w:rPr>
            </w:pPr>
            <w:r w:rsidRPr="00B05D5E">
              <w:rPr>
                <w:rFonts w:cs="Arial"/>
                <w:color w:val="000000"/>
              </w:rPr>
              <w:t>871</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Pr="00B05D5E" w:rsidRDefault="0084613D" w:rsidP="0084613D">
            <w:pPr>
              <w:jc w:val="center"/>
              <w:rPr>
                <w:rFonts w:cs="Arial"/>
                <w:color w:val="000000"/>
              </w:rPr>
            </w:pPr>
            <w:r w:rsidRPr="00B05D5E">
              <w:rPr>
                <w:rFonts w:cs="Arial"/>
                <w:color w:val="000000"/>
              </w:rPr>
              <w:t>871</w:t>
            </w: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color w:val="000000"/>
              </w:rPr>
            </w:pPr>
            <w:r>
              <w:rPr>
                <w:rFonts w:cs="Arial"/>
                <w:color w:val="000000"/>
              </w:rPr>
              <w:t>Estimated gross debt</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1,037</w:t>
            </w:r>
          </w:p>
        </w:tc>
      </w:tr>
      <w:tr w:rsidR="0084613D" w:rsidRPr="00A412DE" w:rsidTr="00F9468D">
        <w:trPr>
          <w:trHeight w:val="300"/>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84613D" w:rsidRDefault="0084613D" w:rsidP="0084613D">
            <w:pPr>
              <w:rPr>
                <w:rFonts w:cs="Arial"/>
                <w:color w:val="000000"/>
              </w:rPr>
            </w:pPr>
            <w:r>
              <w:rPr>
                <w:rFonts w:cs="Arial"/>
                <w:color w:val="000000"/>
              </w:rPr>
              <w:t>Debt to Capital Financing Requirements</w:t>
            </w:r>
          </w:p>
        </w:tc>
        <w:tc>
          <w:tcPr>
            <w:tcW w:w="1275"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117%</w:t>
            </w:r>
          </w:p>
        </w:tc>
        <w:tc>
          <w:tcPr>
            <w:tcW w:w="1276"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119%</w:t>
            </w:r>
          </w:p>
        </w:tc>
      </w:tr>
    </w:tbl>
    <w:p w:rsidR="001C3A79" w:rsidRDefault="001C3A79" w:rsidP="00F13DF5">
      <w:pPr>
        <w:jc w:val="both"/>
        <w:rPr>
          <w:rFonts w:cs="Arial"/>
          <w:szCs w:val="24"/>
        </w:rPr>
      </w:pPr>
    </w:p>
    <w:p w:rsidR="00BA65AE" w:rsidRPr="0084613D" w:rsidRDefault="008725D6" w:rsidP="00F13DF5">
      <w:pPr>
        <w:jc w:val="both"/>
        <w:rPr>
          <w:rFonts w:cs="Arial"/>
          <w:szCs w:val="24"/>
        </w:rPr>
      </w:pPr>
      <w:r w:rsidRPr="0084613D">
        <w:rPr>
          <w:rFonts w:cs="Arial"/>
          <w:szCs w:val="24"/>
        </w:rPr>
        <w:t>Gross borrowing is higher than the capital financing requirement because the shared investment scheme is accounted for as borrowing but it does not form part of the capital financial requirement calculation.</w:t>
      </w:r>
    </w:p>
    <w:p w:rsidR="00FA77D0" w:rsidRDefault="00FA77D0" w:rsidP="00F13DF5">
      <w:pPr>
        <w:jc w:val="both"/>
        <w:rPr>
          <w:rFonts w:cs="Arial"/>
          <w:b/>
          <w:szCs w:val="24"/>
        </w:rPr>
      </w:pPr>
    </w:p>
    <w:p w:rsidR="00F35B3C" w:rsidRPr="0084613D" w:rsidRDefault="008725D6" w:rsidP="00F13DF5">
      <w:pPr>
        <w:jc w:val="both"/>
        <w:rPr>
          <w:rFonts w:cs="Arial"/>
          <w:b/>
          <w:szCs w:val="24"/>
        </w:rPr>
      </w:pPr>
      <w:r w:rsidRPr="0084613D">
        <w:rPr>
          <w:rFonts w:cs="Arial"/>
          <w:b/>
          <w:szCs w:val="24"/>
        </w:rPr>
        <w:t>The County Council confirms that it has complied with its Prudential Indicators for 201</w:t>
      </w:r>
      <w:r w:rsidR="006E09A0" w:rsidRPr="0084613D">
        <w:rPr>
          <w:rFonts w:cs="Arial"/>
          <w:b/>
          <w:szCs w:val="24"/>
        </w:rPr>
        <w:t>6</w:t>
      </w:r>
      <w:r w:rsidRPr="0084613D">
        <w:rPr>
          <w:rFonts w:cs="Arial"/>
          <w:b/>
          <w:szCs w:val="24"/>
        </w:rPr>
        <w:t>/1</w:t>
      </w:r>
      <w:r w:rsidR="006E09A0" w:rsidRPr="0084613D">
        <w:rPr>
          <w:rFonts w:cs="Arial"/>
          <w:b/>
          <w:szCs w:val="24"/>
        </w:rPr>
        <w:t>7</w:t>
      </w:r>
      <w:r w:rsidRPr="0084613D">
        <w:rPr>
          <w:rFonts w:cs="Arial"/>
          <w:b/>
          <w:szCs w:val="24"/>
        </w:rPr>
        <w:t xml:space="preserve"> </w:t>
      </w:r>
      <w:r w:rsidR="006E09A0" w:rsidRPr="0084613D">
        <w:rPr>
          <w:rFonts w:cs="Arial"/>
          <w:b/>
          <w:szCs w:val="24"/>
        </w:rPr>
        <w:t>for the reported period. The Prudential Indicators</w:t>
      </w:r>
      <w:r w:rsidRPr="0084613D">
        <w:rPr>
          <w:rFonts w:cs="Arial"/>
          <w:b/>
          <w:szCs w:val="24"/>
        </w:rPr>
        <w:t xml:space="preserve"> were approved </w:t>
      </w:r>
      <w:r w:rsidR="006E09A0" w:rsidRPr="0084613D">
        <w:rPr>
          <w:rFonts w:cs="Arial"/>
          <w:b/>
          <w:szCs w:val="24"/>
        </w:rPr>
        <w:t>i</w:t>
      </w:r>
      <w:r w:rsidRPr="0084613D">
        <w:rPr>
          <w:rFonts w:cs="Arial"/>
          <w:b/>
          <w:szCs w:val="24"/>
        </w:rPr>
        <w:t>n February 2016 as part of the County Council's Treasury Management Strategy Statement.</w:t>
      </w:r>
    </w:p>
    <w:p w:rsidR="000B0DFC" w:rsidRPr="00A412DE" w:rsidRDefault="005E5354" w:rsidP="00F13DF5">
      <w:pPr>
        <w:jc w:val="both"/>
        <w:rPr>
          <w:rFonts w:cs="Arial"/>
          <w:b/>
          <w:szCs w:val="24"/>
          <w:highlight w:val="yellow"/>
        </w:rPr>
      </w:pPr>
    </w:p>
    <w:p w:rsidR="002A5CA0" w:rsidRPr="0084613D" w:rsidRDefault="008725D6" w:rsidP="002A5CA0">
      <w:pPr>
        <w:rPr>
          <w:rFonts w:cs="Arial"/>
          <w:b/>
          <w:bCs/>
          <w:color w:val="000000"/>
          <w:szCs w:val="24"/>
          <w:u w:val="single"/>
        </w:rPr>
      </w:pPr>
      <w:r w:rsidRPr="0084613D">
        <w:rPr>
          <w:rFonts w:cs="Arial"/>
          <w:b/>
          <w:bCs/>
          <w:color w:val="000000"/>
          <w:szCs w:val="24"/>
          <w:u w:val="single"/>
        </w:rPr>
        <w:lastRenderedPageBreak/>
        <w:t>Treasury Management Indicators</w:t>
      </w:r>
    </w:p>
    <w:p w:rsidR="002A5CA0" w:rsidRPr="00A412DE" w:rsidRDefault="005E5354" w:rsidP="00F13DF5">
      <w:pPr>
        <w:jc w:val="both"/>
        <w:rPr>
          <w:rFonts w:cs="Arial"/>
          <w:b/>
          <w:szCs w:val="24"/>
          <w:highlight w:val="yellow"/>
        </w:rPr>
      </w:pPr>
    </w:p>
    <w:tbl>
      <w:tblPr>
        <w:tblW w:w="8926" w:type="dxa"/>
        <w:tblLook w:val="04A0" w:firstRow="1" w:lastRow="0" w:firstColumn="1" w:lastColumn="0" w:noHBand="0" w:noVBand="1"/>
      </w:tblPr>
      <w:tblGrid>
        <w:gridCol w:w="6232"/>
        <w:gridCol w:w="1560"/>
        <w:gridCol w:w="1134"/>
      </w:tblGrid>
      <w:tr w:rsidR="0084613D" w:rsidRPr="00A412DE" w:rsidTr="000B0DFC">
        <w:trPr>
          <w:trHeight w:val="292"/>
        </w:trPr>
        <w:tc>
          <w:tcPr>
            <w:tcW w:w="6232" w:type="dxa"/>
            <w:tcBorders>
              <w:top w:val="single" w:sz="4" w:space="0" w:color="auto"/>
              <w:left w:val="single" w:sz="4" w:space="0" w:color="auto"/>
              <w:bottom w:val="nil"/>
              <w:right w:val="single" w:sz="4" w:space="0" w:color="auto"/>
            </w:tcBorders>
            <w:shd w:val="clear" w:color="auto" w:fill="auto"/>
            <w:noWrap/>
            <w:vAlign w:val="center"/>
            <w:hideMark/>
          </w:tcPr>
          <w:p w:rsidR="0084613D" w:rsidRDefault="0084613D" w:rsidP="0084613D">
            <w:pPr>
              <w:rPr>
                <w:rFonts w:cs="Arial"/>
                <w:b/>
                <w:bCs/>
                <w:color w:val="000000"/>
              </w:rPr>
            </w:pPr>
            <w:r>
              <w:rPr>
                <w:rFonts w:cs="Arial"/>
                <w:b/>
                <w:bCs/>
                <w:color w:val="000000"/>
              </w:rPr>
              <w:t>1. Interest Rate exposure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Upper Limit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Actual</w:t>
            </w:r>
          </w:p>
        </w:tc>
      </w:tr>
      <w:tr w:rsidR="0084613D" w:rsidRPr="00A412DE" w:rsidTr="000B0DFC">
        <w:trPr>
          <w:trHeight w:val="1143"/>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1C3A79" w:rsidRDefault="001C3A79" w:rsidP="0084613D">
            <w:pPr>
              <w:rPr>
                <w:rFonts w:cs="Arial"/>
                <w:color w:val="000000"/>
              </w:rPr>
            </w:pPr>
          </w:p>
          <w:p w:rsidR="0084613D" w:rsidRPr="00A412DE" w:rsidRDefault="0084613D" w:rsidP="0084613D">
            <w:pPr>
              <w:rPr>
                <w:rFonts w:cs="Arial"/>
                <w:color w:val="000000"/>
                <w:szCs w:val="24"/>
                <w:highlight w:val="yellow"/>
              </w:rPr>
            </w:pPr>
            <w:r>
              <w:rPr>
                <w:rFonts w:cs="Arial"/>
                <w:color w:val="000000"/>
              </w:rPr>
              <w:t>The limit measures the County Council's exposure to the risk of interest rate movements. The one year impact indicator calculates the theoretical impact on the revenue account of an immediate 1% rise in all interest rates over the course of one financial year.</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613D" w:rsidRPr="00A412DE" w:rsidRDefault="0084613D" w:rsidP="0084613D">
            <w:pPr>
              <w:rPr>
                <w:rFonts w:cs="Arial"/>
                <w:b/>
                <w:bCs/>
                <w:color w:val="000000"/>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13D" w:rsidRPr="00A412DE" w:rsidRDefault="0084613D" w:rsidP="0084613D">
            <w:pPr>
              <w:rPr>
                <w:rFonts w:cs="Arial"/>
                <w:b/>
                <w:bCs/>
                <w:color w:val="000000"/>
                <w:szCs w:val="24"/>
                <w:highlight w:val="yellow"/>
              </w:rPr>
            </w:pPr>
          </w:p>
        </w:tc>
      </w:tr>
      <w:tr w:rsidR="0084613D" w:rsidRPr="00A412DE" w:rsidTr="000B0DFC">
        <w:trPr>
          <w:trHeight w:val="292"/>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c>
          <w:tcPr>
            <w:tcW w:w="1134"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b/>
                <w:bCs/>
                <w:color w:val="000000"/>
              </w:rPr>
            </w:pPr>
            <w:r>
              <w:rPr>
                <w:rFonts w:cs="Arial"/>
                <w:b/>
                <w:bCs/>
                <w:color w:val="000000"/>
              </w:rPr>
              <w:t>£m</w:t>
            </w:r>
          </w:p>
        </w:tc>
      </w:tr>
      <w:tr w:rsidR="0084613D" w:rsidRPr="00A412DE" w:rsidTr="000B0DFC">
        <w:trPr>
          <w:trHeight w:val="278"/>
        </w:trPr>
        <w:tc>
          <w:tcPr>
            <w:tcW w:w="62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13D" w:rsidRDefault="0084613D" w:rsidP="0084613D">
            <w:pPr>
              <w:rPr>
                <w:rFonts w:cs="Arial"/>
                <w:color w:val="000000"/>
              </w:rPr>
            </w:pPr>
            <w:r>
              <w:rPr>
                <w:rFonts w:cs="Arial"/>
                <w:color w:val="000000"/>
              </w:rPr>
              <w:t>Net Interest Payable – Fixed Rate</w:t>
            </w:r>
          </w:p>
        </w:tc>
        <w:tc>
          <w:tcPr>
            <w:tcW w:w="1560"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50.40</w:t>
            </w:r>
          </w:p>
        </w:tc>
        <w:tc>
          <w:tcPr>
            <w:tcW w:w="1134"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9.00</w:t>
            </w:r>
          </w:p>
        </w:tc>
      </w:tr>
      <w:tr w:rsidR="0084613D" w:rsidRPr="00A412DE" w:rsidTr="000B0DFC">
        <w:trPr>
          <w:trHeight w:val="278"/>
        </w:trPr>
        <w:tc>
          <w:tcPr>
            <w:tcW w:w="62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13D" w:rsidRDefault="0084613D" w:rsidP="0084613D">
            <w:pPr>
              <w:rPr>
                <w:rFonts w:cs="Arial"/>
                <w:color w:val="000000"/>
              </w:rPr>
            </w:pPr>
            <w:r>
              <w:rPr>
                <w:rFonts w:cs="Arial"/>
                <w:color w:val="000000"/>
              </w:rPr>
              <w:t>Net Interest Payable – Variable Rate</w:t>
            </w:r>
          </w:p>
        </w:tc>
        <w:tc>
          <w:tcPr>
            <w:tcW w:w="1560"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3.50</w:t>
            </w:r>
          </w:p>
        </w:tc>
      </w:tr>
      <w:tr w:rsidR="0084613D" w:rsidRPr="00A412DE" w:rsidTr="000B0DFC">
        <w:trPr>
          <w:trHeight w:val="278"/>
        </w:trPr>
        <w:tc>
          <w:tcPr>
            <w:tcW w:w="62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613D" w:rsidRDefault="0084613D" w:rsidP="0084613D">
            <w:pPr>
              <w:rPr>
                <w:rFonts w:cs="Arial"/>
                <w:color w:val="000000"/>
              </w:rPr>
            </w:pPr>
            <w:r>
              <w:rPr>
                <w:rFonts w:cs="Arial"/>
                <w:color w:val="000000"/>
              </w:rPr>
              <w:t>1 year impact of a 1% rise</w:t>
            </w:r>
          </w:p>
        </w:tc>
        <w:tc>
          <w:tcPr>
            <w:tcW w:w="1560"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1.40</w:t>
            </w:r>
          </w:p>
        </w:tc>
      </w:tr>
    </w:tbl>
    <w:p w:rsidR="000B0DFC" w:rsidRPr="00A412DE" w:rsidRDefault="005E5354" w:rsidP="00F13DF5">
      <w:pPr>
        <w:jc w:val="both"/>
        <w:rPr>
          <w:rFonts w:cs="Arial"/>
          <w:b/>
          <w:szCs w:val="24"/>
          <w:highlight w:val="yellow"/>
        </w:rPr>
      </w:pPr>
    </w:p>
    <w:tbl>
      <w:tblPr>
        <w:tblW w:w="0" w:type="auto"/>
        <w:tblLayout w:type="fixed"/>
        <w:tblLook w:val="04A0" w:firstRow="1" w:lastRow="0" w:firstColumn="1" w:lastColumn="0" w:noHBand="0" w:noVBand="1"/>
      </w:tblPr>
      <w:tblGrid>
        <w:gridCol w:w="6232"/>
        <w:gridCol w:w="1560"/>
        <w:gridCol w:w="1134"/>
      </w:tblGrid>
      <w:tr w:rsidR="0084613D" w:rsidRPr="00A412DE" w:rsidTr="00783325">
        <w:trPr>
          <w:trHeight w:val="295"/>
        </w:trPr>
        <w:tc>
          <w:tcPr>
            <w:tcW w:w="6232" w:type="dxa"/>
            <w:tcBorders>
              <w:top w:val="single" w:sz="4" w:space="0" w:color="auto"/>
              <w:left w:val="single" w:sz="4" w:space="0" w:color="auto"/>
              <w:bottom w:val="nil"/>
              <w:right w:val="single" w:sz="4" w:space="0" w:color="auto"/>
            </w:tcBorders>
            <w:shd w:val="clear" w:color="auto" w:fill="auto"/>
            <w:noWrap/>
            <w:vAlign w:val="center"/>
            <w:hideMark/>
          </w:tcPr>
          <w:p w:rsidR="0084613D" w:rsidRDefault="0084613D" w:rsidP="0084613D">
            <w:pPr>
              <w:rPr>
                <w:rFonts w:cs="Arial"/>
                <w:b/>
                <w:bCs/>
                <w:color w:val="000000"/>
              </w:rPr>
            </w:pPr>
            <w:r>
              <w:rPr>
                <w:rFonts w:cs="Arial"/>
                <w:b/>
                <w:bCs/>
                <w:color w:val="000000"/>
              </w:rPr>
              <w:t>2. Maturity structure of debt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325" w:rsidRDefault="00783325" w:rsidP="00783325">
            <w:pPr>
              <w:jc w:val="center"/>
              <w:rPr>
                <w:rFonts w:cs="Arial"/>
                <w:b/>
                <w:bCs/>
                <w:color w:val="000000"/>
              </w:rPr>
            </w:pPr>
            <w:r>
              <w:rPr>
                <w:rFonts w:cs="Arial"/>
                <w:b/>
                <w:bCs/>
                <w:color w:val="000000"/>
              </w:rPr>
              <w:t xml:space="preserve">Upper </w:t>
            </w:r>
          </w:p>
          <w:p w:rsidR="00783325" w:rsidRDefault="00783325" w:rsidP="00783325">
            <w:pPr>
              <w:jc w:val="center"/>
              <w:rPr>
                <w:rFonts w:cs="Arial"/>
                <w:b/>
                <w:bCs/>
                <w:color w:val="000000"/>
              </w:rPr>
            </w:pPr>
            <w:r>
              <w:rPr>
                <w:rFonts w:cs="Arial"/>
                <w:b/>
                <w:bCs/>
                <w:color w:val="000000"/>
              </w:rPr>
              <w:t xml:space="preserve">Limit </w:t>
            </w:r>
          </w:p>
          <w:p w:rsidR="0084613D" w:rsidRDefault="00783325" w:rsidP="00F9468D">
            <w:pPr>
              <w:jc w:val="center"/>
              <w:rPr>
                <w:rFonts w:cs="Arial"/>
                <w:b/>
                <w:bCs/>
                <w:color w:val="000000"/>
              </w:rPr>
            </w:pPr>
            <w:r>
              <w:rPr>
                <w:rFonts w:cs="Arial"/>
                <w:b/>
                <w:bCs/>
                <w:color w:val="00000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4613D" w:rsidRDefault="00783325" w:rsidP="0084613D">
            <w:pPr>
              <w:jc w:val="center"/>
              <w:rPr>
                <w:rFonts w:cs="Arial"/>
                <w:b/>
                <w:bCs/>
                <w:color w:val="000000"/>
              </w:rPr>
            </w:pPr>
            <w:r>
              <w:rPr>
                <w:rFonts w:cs="Arial"/>
                <w:b/>
                <w:bCs/>
                <w:color w:val="000000"/>
              </w:rPr>
              <w:t>Actual</w:t>
            </w:r>
            <w:r w:rsidDel="00783325">
              <w:rPr>
                <w:rFonts w:cs="Arial"/>
                <w:b/>
                <w:bCs/>
                <w:color w:val="000000"/>
              </w:rPr>
              <w:t xml:space="preserve"> </w:t>
            </w:r>
            <w:r>
              <w:rPr>
                <w:rFonts w:cs="Arial"/>
                <w:b/>
                <w:bCs/>
                <w:color w:val="000000"/>
              </w:rPr>
              <w:t>%</w:t>
            </w:r>
          </w:p>
        </w:tc>
      </w:tr>
      <w:tr w:rsidR="0084613D" w:rsidRPr="00A412DE" w:rsidTr="00783325">
        <w:trPr>
          <w:trHeight w:val="75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84613D" w:rsidRPr="00F9468D" w:rsidRDefault="0084613D" w:rsidP="00F9468D">
            <w:pPr>
              <w:rPr>
                <w:rFonts w:cs="Arial"/>
                <w:color w:val="000000"/>
              </w:rPr>
            </w:pPr>
            <w:r>
              <w:rPr>
                <w:rFonts w:cs="Arial"/>
                <w:color w:val="000000"/>
              </w:rPr>
              <w:t>The limit on the maturity structure of debt helps control refinancing risk.</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4613D" w:rsidRPr="00A412DE" w:rsidRDefault="0084613D" w:rsidP="0084613D">
            <w:pPr>
              <w:rPr>
                <w:rFonts w:cs="Arial"/>
                <w:b/>
                <w:bCs/>
                <w:color w:val="000000"/>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613D" w:rsidRPr="00A412DE" w:rsidRDefault="0084613D" w:rsidP="0084613D">
            <w:pPr>
              <w:rPr>
                <w:rFonts w:cs="Arial"/>
                <w:b/>
                <w:bCs/>
                <w:color w:val="000000"/>
                <w:szCs w:val="24"/>
                <w:highlight w:val="yellow"/>
              </w:rPr>
            </w:pPr>
          </w:p>
        </w:tc>
      </w:tr>
      <w:tr w:rsidR="00783325" w:rsidRPr="00A412DE" w:rsidTr="00783325">
        <w:trPr>
          <w:trHeight w:val="281"/>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783325" w:rsidRDefault="00783325" w:rsidP="00783325">
            <w:pPr>
              <w:rPr>
                <w:rFonts w:cs="Arial"/>
                <w:color w:val="000000"/>
              </w:rPr>
            </w:pPr>
            <w:r>
              <w:rPr>
                <w:rFonts w:cs="Arial"/>
                <w:color w:val="000000"/>
              </w:rPr>
              <w:t>Under 12 months</w:t>
            </w:r>
          </w:p>
        </w:tc>
        <w:tc>
          <w:tcPr>
            <w:tcW w:w="1560" w:type="dxa"/>
            <w:tcBorders>
              <w:top w:val="nil"/>
              <w:left w:val="nil"/>
              <w:bottom w:val="single" w:sz="4" w:space="0" w:color="auto"/>
              <w:right w:val="single" w:sz="4" w:space="0" w:color="auto"/>
            </w:tcBorders>
            <w:shd w:val="clear" w:color="auto" w:fill="auto"/>
            <w:noWrap/>
            <w:vAlign w:val="center"/>
            <w:hideMark/>
          </w:tcPr>
          <w:p w:rsidR="00783325" w:rsidRDefault="00783325" w:rsidP="00783325">
            <w:pPr>
              <w:jc w:val="center"/>
              <w:rPr>
                <w:rFonts w:cs="Arial"/>
                <w:color w:val="000000"/>
              </w:rPr>
            </w:pPr>
            <w:r>
              <w:rPr>
                <w:rFonts w:cs="Arial"/>
                <w:color w:val="000000"/>
              </w:rPr>
              <w:t>75</w:t>
            </w:r>
          </w:p>
        </w:tc>
        <w:tc>
          <w:tcPr>
            <w:tcW w:w="1134" w:type="dxa"/>
            <w:tcBorders>
              <w:top w:val="nil"/>
              <w:left w:val="nil"/>
              <w:bottom w:val="single" w:sz="4" w:space="0" w:color="auto"/>
              <w:right w:val="single" w:sz="4" w:space="0" w:color="auto"/>
            </w:tcBorders>
            <w:shd w:val="clear" w:color="auto" w:fill="auto"/>
            <w:noWrap/>
            <w:vAlign w:val="center"/>
          </w:tcPr>
          <w:p w:rsidR="00783325" w:rsidRDefault="00783325" w:rsidP="00783325">
            <w:pPr>
              <w:jc w:val="center"/>
              <w:rPr>
                <w:rFonts w:cs="Arial"/>
                <w:color w:val="000000"/>
              </w:rPr>
            </w:pPr>
            <w:r>
              <w:t>13</w:t>
            </w:r>
          </w:p>
        </w:tc>
      </w:tr>
      <w:tr w:rsidR="00783325" w:rsidRPr="00A412DE" w:rsidTr="00783325">
        <w:trPr>
          <w:trHeight w:val="281"/>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783325" w:rsidRDefault="00783325" w:rsidP="00783325">
            <w:pPr>
              <w:rPr>
                <w:rFonts w:cs="Arial"/>
                <w:color w:val="000000"/>
              </w:rPr>
            </w:pPr>
            <w:r>
              <w:rPr>
                <w:rFonts w:cs="Arial"/>
                <w:color w:val="000000"/>
              </w:rPr>
              <w:t>12 months and within 2 years</w:t>
            </w:r>
          </w:p>
        </w:tc>
        <w:tc>
          <w:tcPr>
            <w:tcW w:w="1560" w:type="dxa"/>
            <w:tcBorders>
              <w:top w:val="nil"/>
              <w:left w:val="nil"/>
              <w:bottom w:val="single" w:sz="4" w:space="0" w:color="auto"/>
              <w:right w:val="single" w:sz="4" w:space="0" w:color="auto"/>
            </w:tcBorders>
            <w:shd w:val="clear" w:color="auto" w:fill="auto"/>
            <w:noWrap/>
            <w:vAlign w:val="center"/>
            <w:hideMark/>
          </w:tcPr>
          <w:p w:rsidR="00783325" w:rsidRDefault="00783325" w:rsidP="00783325">
            <w:pPr>
              <w:jc w:val="center"/>
              <w:rPr>
                <w:rFonts w:cs="Arial"/>
                <w:color w:val="000000"/>
              </w:rPr>
            </w:pPr>
            <w:r>
              <w:rPr>
                <w:rFonts w:cs="Arial"/>
                <w:color w:val="000000"/>
              </w:rPr>
              <w:t>75</w:t>
            </w:r>
          </w:p>
        </w:tc>
        <w:tc>
          <w:tcPr>
            <w:tcW w:w="1134" w:type="dxa"/>
            <w:tcBorders>
              <w:top w:val="nil"/>
              <w:left w:val="nil"/>
              <w:bottom w:val="single" w:sz="4" w:space="0" w:color="auto"/>
              <w:right w:val="single" w:sz="4" w:space="0" w:color="auto"/>
            </w:tcBorders>
            <w:shd w:val="clear" w:color="auto" w:fill="auto"/>
            <w:noWrap/>
            <w:vAlign w:val="center"/>
          </w:tcPr>
          <w:p w:rsidR="00783325" w:rsidRDefault="00783325" w:rsidP="00783325">
            <w:pPr>
              <w:jc w:val="center"/>
              <w:rPr>
                <w:rFonts w:cs="Arial"/>
                <w:color w:val="000000"/>
              </w:rPr>
            </w:pPr>
            <w:r>
              <w:t>35</w:t>
            </w:r>
          </w:p>
        </w:tc>
      </w:tr>
      <w:tr w:rsidR="00783325" w:rsidRPr="00A412DE" w:rsidTr="00783325">
        <w:trPr>
          <w:trHeight w:val="281"/>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783325" w:rsidRDefault="00783325" w:rsidP="00783325">
            <w:pPr>
              <w:rPr>
                <w:rFonts w:cs="Arial"/>
                <w:color w:val="000000"/>
              </w:rPr>
            </w:pPr>
            <w:r>
              <w:rPr>
                <w:rFonts w:cs="Arial"/>
                <w:color w:val="000000"/>
              </w:rPr>
              <w:t>2 years and within 5 years</w:t>
            </w:r>
          </w:p>
        </w:tc>
        <w:tc>
          <w:tcPr>
            <w:tcW w:w="1560" w:type="dxa"/>
            <w:tcBorders>
              <w:top w:val="nil"/>
              <w:left w:val="nil"/>
              <w:bottom w:val="single" w:sz="4" w:space="0" w:color="auto"/>
              <w:right w:val="single" w:sz="4" w:space="0" w:color="auto"/>
            </w:tcBorders>
            <w:shd w:val="clear" w:color="auto" w:fill="auto"/>
            <w:noWrap/>
            <w:vAlign w:val="center"/>
            <w:hideMark/>
          </w:tcPr>
          <w:p w:rsidR="00783325" w:rsidRDefault="00783325" w:rsidP="00783325">
            <w:pPr>
              <w:jc w:val="center"/>
              <w:rPr>
                <w:rFonts w:cs="Arial"/>
                <w:color w:val="000000"/>
              </w:rPr>
            </w:pPr>
            <w:r>
              <w:rPr>
                <w:rFonts w:cs="Arial"/>
                <w:color w:val="000000"/>
              </w:rPr>
              <w:t>75</w:t>
            </w:r>
          </w:p>
        </w:tc>
        <w:tc>
          <w:tcPr>
            <w:tcW w:w="1134" w:type="dxa"/>
            <w:tcBorders>
              <w:top w:val="nil"/>
              <w:left w:val="nil"/>
              <w:bottom w:val="single" w:sz="4" w:space="0" w:color="auto"/>
              <w:right w:val="single" w:sz="4" w:space="0" w:color="auto"/>
            </w:tcBorders>
            <w:shd w:val="clear" w:color="auto" w:fill="auto"/>
            <w:noWrap/>
            <w:vAlign w:val="center"/>
          </w:tcPr>
          <w:p w:rsidR="00783325" w:rsidRDefault="00783325" w:rsidP="00783325">
            <w:pPr>
              <w:jc w:val="center"/>
              <w:rPr>
                <w:rFonts w:cs="Arial"/>
                <w:color w:val="000000"/>
              </w:rPr>
            </w:pPr>
            <w:r>
              <w:t>26</w:t>
            </w:r>
          </w:p>
        </w:tc>
      </w:tr>
      <w:tr w:rsidR="00783325" w:rsidRPr="00A412DE" w:rsidTr="00783325">
        <w:trPr>
          <w:trHeight w:val="281"/>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783325" w:rsidRDefault="00783325" w:rsidP="00783325">
            <w:pPr>
              <w:rPr>
                <w:rFonts w:cs="Arial"/>
                <w:color w:val="000000"/>
              </w:rPr>
            </w:pPr>
            <w:r>
              <w:rPr>
                <w:rFonts w:cs="Arial"/>
                <w:color w:val="000000"/>
              </w:rPr>
              <w:t>5 years and within 10 years</w:t>
            </w:r>
          </w:p>
        </w:tc>
        <w:tc>
          <w:tcPr>
            <w:tcW w:w="1560" w:type="dxa"/>
            <w:tcBorders>
              <w:top w:val="nil"/>
              <w:left w:val="nil"/>
              <w:bottom w:val="single" w:sz="4" w:space="0" w:color="auto"/>
              <w:right w:val="single" w:sz="4" w:space="0" w:color="auto"/>
            </w:tcBorders>
            <w:shd w:val="clear" w:color="auto" w:fill="auto"/>
            <w:noWrap/>
            <w:vAlign w:val="center"/>
            <w:hideMark/>
          </w:tcPr>
          <w:p w:rsidR="00783325" w:rsidRDefault="00783325" w:rsidP="00783325">
            <w:pPr>
              <w:jc w:val="center"/>
              <w:rPr>
                <w:rFonts w:cs="Arial"/>
                <w:color w:val="000000"/>
              </w:rPr>
            </w:pPr>
            <w:r>
              <w:rPr>
                <w:rFonts w:cs="Arial"/>
                <w:color w:val="000000"/>
              </w:rPr>
              <w:t>75</w:t>
            </w:r>
          </w:p>
        </w:tc>
        <w:tc>
          <w:tcPr>
            <w:tcW w:w="1134" w:type="dxa"/>
            <w:tcBorders>
              <w:top w:val="nil"/>
              <w:left w:val="nil"/>
              <w:bottom w:val="single" w:sz="4" w:space="0" w:color="auto"/>
              <w:right w:val="single" w:sz="4" w:space="0" w:color="auto"/>
            </w:tcBorders>
            <w:shd w:val="clear" w:color="auto" w:fill="auto"/>
            <w:noWrap/>
            <w:vAlign w:val="center"/>
          </w:tcPr>
          <w:p w:rsidR="00783325" w:rsidRDefault="00783325" w:rsidP="00783325">
            <w:pPr>
              <w:jc w:val="center"/>
              <w:rPr>
                <w:rFonts w:cs="Arial"/>
                <w:color w:val="000000"/>
              </w:rPr>
            </w:pPr>
            <w:r>
              <w:t>6</w:t>
            </w:r>
          </w:p>
        </w:tc>
      </w:tr>
      <w:tr w:rsidR="00783325" w:rsidRPr="00A412DE" w:rsidTr="00783325">
        <w:trPr>
          <w:trHeight w:val="281"/>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rsidR="00783325" w:rsidRDefault="00783325" w:rsidP="00783325">
            <w:pPr>
              <w:rPr>
                <w:rFonts w:cs="Arial"/>
                <w:color w:val="000000"/>
              </w:rPr>
            </w:pPr>
            <w:r>
              <w:rPr>
                <w:rFonts w:cs="Arial"/>
                <w:color w:val="000000"/>
              </w:rPr>
              <w:t>10 years and above</w:t>
            </w:r>
          </w:p>
        </w:tc>
        <w:tc>
          <w:tcPr>
            <w:tcW w:w="1560" w:type="dxa"/>
            <w:tcBorders>
              <w:top w:val="nil"/>
              <w:left w:val="nil"/>
              <w:bottom w:val="single" w:sz="4" w:space="0" w:color="auto"/>
              <w:right w:val="single" w:sz="4" w:space="0" w:color="auto"/>
            </w:tcBorders>
            <w:shd w:val="clear" w:color="auto" w:fill="auto"/>
            <w:noWrap/>
            <w:vAlign w:val="center"/>
            <w:hideMark/>
          </w:tcPr>
          <w:p w:rsidR="00783325" w:rsidRDefault="00783325" w:rsidP="00783325">
            <w:pPr>
              <w:jc w:val="center"/>
              <w:rPr>
                <w:rFonts w:cs="Arial"/>
                <w:color w:val="000000"/>
              </w:rPr>
            </w:pPr>
            <w:r>
              <w:rPr>
                <w:rFonts w:cs="Arial"/>
                <w:color w:val="000000"/>
              </w:rPr>
              <w:t>100</w:t>
            </w:r>
          </w:p>
        </w:tc>
        <w:tc>
          <w:tcPr>
            <w:tcW w:w="1134" w:type="dxa"/>
            <w:tcBorders>
              <w:top w:val="nil"/>
              <w:left w:val="nil"/>
              <w:bottom w:val="single" w:sz="4" w:space="0" w:color="auto"/>
              <w:right w:val="single" w:sz="4" w:space="0" w:color="auto"/>
            </w:tcBorders>
            <w:shd w:val="clear" w:color="auto" w:fill="auto"/>
            <w:noWrap/>
            <w:vAlign w:val="center"/>
          </w:tcPr>
          <w:p w:rsidR="00783325" w:rsidRDefault="00783325" w:rsidP="00783325">
            <w:pPr>
              <w:jc w:val="center"/>
              <w:rPr>
                <w:rFonts w:cs="Arial"/>
                <w:color w:val="000000"/>
              </w:rPr>
            </w:pPr>
            <w:r>
              <w:rPr>
                <w:color w:val="000000"/>
              </w:rPr>
              <w:t>2</w:t>
            </w:r>
            <w:r>
              <w:t>0</w:t>
            </w:r>
          </w:p>
        </w:tc>
      </w:tr>
    </w:tbl>
    <w:p w:rsidR="000B0DFC" w:rsidRPr="00A412DE" w:rsidRDefault="005E5354" w:rsidP="00F13DF5">
      <w:pPr>
        <w:jc w:val="both"/>
        <w:rPr>
          <w:rFonts w:cs="Arial"/>
          <w:b/>
          <w:szCs w:val="24"/>
          <w:highlight w:val="yellow"/>
        </w:rPr>
      </w:pPr>
    </w:p>
    <w:tbl>
      <w:tblPr>
        <w:tblW w:w="8905" w:type="dxa"/>
        <w:tblLook w:val="04A0" w:firstRow="1" w:lastRow="0" w:firstColumn="1" w:lastColumn="0" w:noHBand="0" w:noVBand="1"/>
      </w:tblPr>
      <w:tblGrid>
        <w:gridCol w:w="5716"/>
        <w:gridCol w:w="516"/>
        <w:gridCol w:w="1560"/>
        <w:gridCol w:w="1113"/>
      </w:tblGrid>
      <w:tr w:rsidR="005519C2" w:rsidRPr="00A412DE" w:rsidTr="0084613D">
        <w:trPr>
          <w:trHeight w:val="327"/>
        </w:trPr>
        <w:tc>
          <w:tcPr>
            <w:tcW w:w="6232" w:type="dxa"/>
            <w:gridSpan w:val="2"/>
            <w:tcBorders>
              <w:top w:val="single" w:sz="4" w:space="0" w:color="auto"/>
              <w:left w:val="single" w:sz="4" w:space="0" w:color="auto"/>
              <w:bottom w:val="nil"/>
              <w:right w:val="single" w:sz="4" w:space="0" w:color="auto"/>
            </w:tcBorders>
            <w:shd w:val="clear" w:color="auto" w:fill="auto"/>
            <w:noWrap/>
            <w:vAlign w:val="center"/>
            <w:hideMark/>
          </w:tcPr>
          <w:p w:rsidR="000B0DFC" w:rsidRPr="0084613D" w:rsidRDefault="008725D6" w:rsidP="000B0DFC">
            <w:pPr>
              <w:rPr>
                <w:rFonts w:cs="Arial"/>
                <w:b/>
                <w:bCs/>
                <w:color w:val="000000"/>
                <w:szCs w:val="24"/>
              </w:rPr>
            </w:pPr>
            <w:r w:rsidRPr="0084613D">
              <w:rPr>
                <w:rFonts w:cs="Arial"/>
                <w:b/>
                <w:bCs/>
                <w:color w:val="000000"/>
                <w:szCs w:val="24"/>
              </w:rPr>
              <w:t>3. Investments over 364 days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84613D" w:rsidRDefault="008725D6" w:rsidP="000B0DFC">
            <w:pPr>
              <w:jc w:val="center"/>
              <w:rPr>
                <w:rFonts w:cs="Arial"/>
                <w:b/>
                <w:bCs/>
                <w:color w:val="000000"/>
                <w:szCs w:val="24"/>
              </w:rPr>
            </w:pPr>
            <w:r w:rsidRPr="0084613D">
              <w:rPr>
                <w:rFonts w:cs="Arial"/>
                <w:b/>
                <w:bCs/>
                <w:color w:val="000000"/>
                <w:szCs w:val="24"/>
              </w:rPr>
              <w:t>Upper Limit</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84613D" w:rsidRDefault="008725D6" w:rsidP="000B0DFC">
            <w:pPr>
              <w:jc w:val="center"/>
              <w:rPr>
                <w:rFonts w:cs="Arial"/>
                <w:b/>
                <w:bCs/>
                <w:color w:val="000000"/>
                <w:szCs w:val="24"/>
              </w:rPr>
            </w:pPr>
            <w:r w:rsidRPr="0084613D">
              <w:rPr>
                <w:rFonts w:cs="Arial"/>
                <w:b/>
                <w:bCs/>
                <w:color w:val="000000"/>
                <w:szCs w:val="24"/>
              </w:rPr>
              <w:t>Actual</w:t>
            </w:r>
          </w:p>
        </w:tc>
      </w:tr>
      <w:tr w:rsidR="005519C2" w:rsidRPr="00A412DE" w:rsidTr="0084613D">
        <w:trPr>
          <w:trHeight w:val="998"/>
        </w:trPr>
        <w:tc>
          <w:tcPr>
            <w:tcW w:w="6232" w:type="dxa"/>
            <w:gridSpan w:val="2"/>
            <w:tcBorders>
              <w:top w:val="nil"/>
              <w:left w:val="single" w:sz="4" w:space="0" w:color="auto"/>
              <w:bottom w:val="single" w:sz="4" w:space="0" w:color="auto"/>
              <w:right w:val="single" w:sz="4" w:space="0" w:color="auto"/>
            </w:tcBorders>
            <w:shd w:val="clear" w:color="auto" w:fill="auto"/>
            <w:vAlign w:val="center"/>
            <w:hideMark/>
          </w:tcPr>
          <w:p w:rsidR="000B0DFC" w:rsidRPr="0084613D" w:rsidRDefault="008725D6" w:rsidP="000B0DFC">
            <w:pPr>
              <w:rPr>
                <w:rFonts w:cs="Arial"/>
                <w:color w:val="000000"/>
                <w:szCs w:val="24"/>
              </w:rPr>
            </w:pPr>
            <w:r w:rsidRPr="0084613D">
              <w:rPr>
                <w:rFonts w:cs="Arial"/>
                <w:color w:val="000000"/>
                <w:szCs w:val="24"/>
              </w:rPr>
              <w:t>The limit on the level of long term investments helps to control liquidity, although the majority of these investments are held in available for sale securities.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0DFC" w:rsidRPr="0084613D" w:rsidRDefault="005E5354" w:rsidP="000B0DFC">
            <w:pPr>
              <w:rPr>
                <w:rFonts w:cs="Arial"/>
                <w:b/>
                <w:bCs/>
                <w:color w:val="000000"/>
                <w:szCs w:val="24"/>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0B0DFC" w:rsidRPr="0084613D" w:rsidRDefault="005E5354" w:rsidP="000B0DFC">
            <w:pPr>
              <w:rPr>
                <w:rFonts w:cs="Arial"/>
                <w:b/>
                <w:bCs/>
                <w:color w:val="000000"/>
                <w:szCs w:val="24"/>
              </w:rPr>
            </w:pPr>
          </w:p>
        </w:tc>
      </w:tr>
      <w:tr w:rsidR="005519C2" w:rsidRPr="00A412DE" w:rsidTr="0084613D">
        <w:trPr>
          <w:trHeight w:val="327"/>
        </w:trPr>
        <w:tc>
          <w:tcPr>
            <w:tcW w:w="6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84613D" w:rsidRDefault="008725D6" w:rsidP="000B0DFC">
            <w:pPr>
              <w:rPr>
                <w:rFonts w:cs="Arial"/>
                <w:color w:val="000000"/>
                <w:szCs w:val="24"/>
              </w:rPr>
            </w:pPr>
            <w:r w:rsidRPr="0084613D">
              <w:rPr>
                <w:rFonts w:cs="Arial"/>
                <w:color w:val="000000"/>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0B0DFC" w:rsidRPr="0084613D" w:rsidRDefault="008725D6" w:rsidP="000B0DFC">
            <w:pPr>
              <w:jc w:val="center"/>
              <w:rPr>
                <w:rFonts w:cs="Arial"/>
                <w:b/>
                <w:bCs/>
                <w:color w:val="000000"/>
                <w:szCs w:val="24"/>
              </w:rPr>
            </w:pPr>
            <w:r w:rsidRPr="0084613D">
              <w:rPr>
                <w:rFonts w:cs="Arial"/>
                <w:b/>
                <w:bCs/>
                <w:color w:val="000000"/>
                <w:szCs w:val="24"/>
              </w:rPr>
              <w:t>£m</w:t>
            </w:r>
          </w:p>
        </w:tc>
        <w:tc>
          <w:tcPr>
            <w:tcW w:w="1113" w:type="dxa"/>
            <w:tcBorders>
              <w:top w:val="nil"/>
              <w:left w:val="nil"/>
              <w:bottom w:val="single" w:sz="4" w:space="0" w:color="auto"/>
              <w:right w:val="single" w:sz="4" w:space="0" w:color="auto"/>
            </w:tcBorders>
            <w:shd w:val="clear" w:color="auto" w:fill="auto"/>
            <w:noWrap/>
            <w:vAlign w:val="center"/>
            <w:hideMark/>
          </w:tcPr>
          <w:p w:rsidR="000B0DFC" w:rsidRPr="0084613D" w:rsidRDefault="008725D6" w:rsidP="000B0DFC">
            <w:pPr>
              <w:jc w:val="center"/>
              <w:rPr>
                <w:rFonts w:cs="Arial"/>
                <w:b/>
                <w:bCs/>
                <w:color w:val="000000"/>
                <w:szCs w:val="24"/>
              </w:rPr>
            </w:pPr>
            <w:r w:rsidRPr="0084613D">
              <w:rPr>
                <w:rFonts w:cs="Arial"/>
                <w:b/>
                <w:bCs/>
                <w:color w:val="000000"/>
                <w:szCs w:val="24"/>
              </w:rPr>
              <w:t>£m</w:t>
            </w:r>
          </w:p>
        </w:tc>
      </w:tr>
      <w:tr w:rsidR="0084613D" w:rsidRPr="00A412DE" w:rsidTr="00352906">
        <w:trPr>
          <w:trHeight w:val="312"/>
        </w:trPr>
        <w:tc>
          <w:tcPr>
            <w:tcW w:w="5716" w:type="dxa"/>
            <w:tcBorders>
              <w:top w:val="single" w:sz="4" w:space="0" w:color="auto"/>
              <w:left w:val="single" w:sz="4" w:space="0" w:color="auto"/>
              <w:bottom w:val="single" w:sz="4" w:space="0" w:color="auto"/>
              <w:right w:val="nil"/>
            </w:tcBorders>
            <w:shd w:val="clear" w:color="auto" w:fill="auto"/>
            <w:noWrap/>
            <w:vAlign w:val="bottom"/>
            <w:hideMark/>
          </w:tcPr>
          <w:p w:rsidR="0084613D" w:rsidRDefault="0084613D" w:rsidP="0084613D">
            <w:pPr>
              <w:rPr>
                <w:rFonts w:cs="Arial"/>
                <w:color w:val="000000"/>
              </w:rPr>
            </w:pPr>
            <w:r>
              <w:rPr>
                <w:rFonts w:cs="Arial"/>
                <w:color w:val="000000"/>
              </w:rPr>
              <w:t>Authorised Limit</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84613D" w:rsidRDefault="0084613D" w:rsidP="0084613D">
            <w:pPr>
              <w:rPr>
                <w:rFonts w:cs="Arial"/>
                <w:color w:val="000000"/>
              </w:rPr>
            </w:pPr>
            <w:r>
              <w:rPr>
                <w:rFonts w:cs="Arial"/>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900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496</w:t>
            </w:r>
          </w:p>
        </w:tc>
      </w:tr>
      <w:tr w:rsidR="0084613D" w:rsidRPr="00A412DE" w:rsidTr="0084613D">
        <w:trPr>
          <w:trHeight w:val="312"/>
        </w:trPr>
        <w:tc>
          <w:tcPr>
            <w:tcW w:w="5716" w:type="dxa"/>
            <w:tcBorders>
              <w:top w:val="nil"/>
              <w:left w:val="single" w:sz="4" w:space="0" w:color="auto"/>
              <w:bottom w:val="single" w:sz="4" w:space="0" w:color="auto"/>
              <w:right w:val="nil"/>
            </w:tcBorders>
            <w:shd w:val="clear" w:color="auto" w:fill="auto"/>
            <w:noWrap/>
            <w:vAlign w:val="bottom"/>
            <w:hideMark/>
          </w:tcPr>
          <w:p w:rsidR="0084613D" w:rsidRDefault="0084613D" w:rsidP="0084613D">
            <w:pPr>
              <w:rPr>
                <w:rFonts w:cs="Arial"/>
                <w:color w:val="000000"/>
              </w:rPr>
            </w:pPr>
            <w:r>
              <w:rPr>
                <w:rFonts w:cs="Arial"/>
                <w:color w:val="000000"/>
              </w:rPr>
              <w:t>Operating Limit</w:t>
            </w:r>
          </w:p>
        </w:tc>
        <w:tc>
          <w:tcPr>
            <w:tcW w:w="516" w:type="dxa"/>
            <w:tcBorders>
              <w:top w:val="nil"/>
              <w:left w:val="nil"/>
              <w:bottom w:val="single" w:sz="4" w:space="0" w:color="auto"/>
              <w:right w:val="single" w:sz="4" w:space="0" w:color="auto"/>
            </w:tcBorders>
            <w:shd w:val="clear" w:color="auto" w:fill="auto"/>
            <w:noWrap/>
            <w:vAlign w:val="bottom"/>
            <w:hideMark/>
          </w:tcPr>
          <w:p w:rsidR="0084613D" w:rsidRDefault="0084613D" w:rsidP="0084613D">
            <w:pPr>
              <w:rPr>
                <w:rFonts w:cs="Arial"/>
                <w:color w:val="000000"/>
              </w:rPr>
            </w:pPr>
            <w:r>
              <w:rPr>
                <w:rFonts w:cs="Arial"/>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600</w:t>
            </w:r>
          </w:p>
        </w:tc>
        <w:tc>
          <w:tcPr>
            <w:tcW w:w="1113" w:type="dxa"/>
            <w:tcBorders>
              <w:top w:val="nil"/>
              <w:left w:val="nil"/>
              <w:bottom w:val="single" w:sz="4" w:space="0" w:color="auto"/>
              <w:right w:val="single" w:sz="4" w:space="0" w:color="auto"/>
            </w:tcBorders>
            <w:shd w:val="clear" w:color="auto" w:fill="auto"/>
            <w:noWrap/>
            <w:vAlign w:val="center"/>
            <w:hideMark/>
          </w:tcPr>
          <w:p w:rsidR="0084613D" w:rsidRDefault="0084613D" w:rsidP="0084613D">
            <w:pPr>
              <w:jc w:val="center"/>
              <w:rPr>
                <w:rFonts w:cs="Arial"/>
                <w:color w:val="000000"/>
              </w:rPr>
            </w:pPr>
            <w:r>
              <w:rPr>
                <w:rFonts w:cs="Arial"/>
                <w:color w:val="000000"/>
              </w:rPr>
              <w:t>496</w:t>
            </w:r>
          </w:p>
        </w:tc>
      </w:tr>
    </w:tbl>
    <w:p w:rsidR="000B0DFC" w:rsidRPr="00A412DE" w:rsidRDefault="005E5354" w:rsidP="00F13DF5">
      <w:pPr>
        <w:jc w:val="both"/>
        <w:rPr>
          <w:rFonts w:cs="Arial"/>
          <w:b/>
          <w:szCs w:val="24"/>
          <w:highlight w:val="yellow"/>
        </w:rPr>
      </w:pPr>
    </w:p>
    <w:tbl>
      <w:tblPr>
        <w:tblW w:w="8940" w:type="dxa"/>
        <w:tblInd w:w="-5" w:type="dxa"/>
        <w:tblLayout w:type="fixed"/>
        <w:tblLook w:val="04A0" w:firstRow="1" w:lastRow="0" w:firstColumn="1" w:lastColumn="0" w:noHBand="0" w:noVBand="1"/>
      </w:tblPr>
      <w:tblGrid>
        <w:gridCol w:w="6237"/>
        <w:gridCol w:w="1560"/>
        <w:gridCol w:w="1143"/>
      </w:tblGrid>
      <w:tr w:rsidR="005519C2" w:rsidRPr="00A412DE" w:rsidTr="0084613D">
        <w:trPr>
          <w:trHeight w:val="311"/>
        </w:trPr>
        <w:tc>
          <w:tcPr>
            <w:tcW w:w="6237" w:type="dxa"/>
            <w:tcBorders>
              <w:top w:val="single" w:sz="4" w:space="0" w:color="auto"/>
              <w:left w:val="single" w:sz="4" w:space="0" w:color="auto"/>
              <w:bottom w:val="nil"/>
              <w:right w:val="single" w:sz="4" w:space="0" w:color="auto"/>
            </w:tcBorders>
            <w:shd w:val="clear" w:color="auto" w:fill="auto"/>
            <w:noWrap/>
            <w:vAlign w:val="center"/>
            <w:hideMark/>
          </w:tcPr>
          <w:p w:rsidR="000B0DFC" w:rsidRPr="0084613D" w:rsidRDefault="008725D6" w:rsidP="000B0DFC">
            <w:pPr>
              <w:rPr>
                <w:rFonts w:cs="Arial"/>
                <w:b/>
                <w:bCs/>
                <w:color w:val="000000"/>
                <w:szCs w:val="24"/>
              </w:rPr>
            </w:pPr>
            <w:r w:rsidRPr="0084613D">
              <w:rPr>
                <w:rFonts w:cs="Arial"/>
                <w:b/>
                <w:bCs/>
                <w:color w:val="000000"/>
                <w:szCs w:val="24"/>
              </w:rPr>
              <w:t>4. Minimum Average Credit Rating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DFC" w:rsidRPr="0084613D" w:rsidRDefault="008725D6" w:rsidP="000B0DFC">
            <w:pPr>
              <w:jc w:val="center"/>
              <w:rPr>
                <w:rFonts w:cs="Arial"/>
                <w:b/>
                <w:bCs/>
                <w:color w:val="000000"/>
                <w:szCs w:val="24"/>
              </w:rPr>
            </w:pPr>
            <w:r w:rsidRPr="0084613D">
              <w:rPr>
                <w:rFonts w:cs="Arial"/>
                <w:b/>
                <w:bCs/>
                <w:color w:val="000000"/>
                <w:szCs w:val="24"/>
              </w:rPr>
              <w:t>Benchmark</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84613D" w:rsidRDefault="008725D6" w:rsidP="000B0DFC">
            <w:pPr>
              <w:jc w:val="center"/>
              <w:rPr>
                <w:rFonts w:cs="Arial"/>
                <w:b/>
                <w:bCs/>
                <w:color w:val="000000"/>
                <w:szCs w:val="24"/>
              </w:rPr>
            </w:pPr>
            <w:r w:rsidRPr="0084613D">
              <w:rPr>
                <w:rFonts w:cs="Arial"/>
                <w:b/>
                <w:bCs/>
                <w:color w:val="000000"/>
                <w:szCs w:val="24"/>
              </w:rPr>
              <w:t>Actual</w:t>
            </w:r>
          </w:p>
        </w:tc>
      </w:tr>
      <w:tr w:rsidR="005519C2" w:rsidRPr="00A412DE" w:rsidTr="0084613D">
        <w:trPr>
          <w:trHeight w:val="891"/>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0B0DFC" w:rsidRPr="0084613D" w:rsidRDefault="008725D6" w:rsidP="000B0DFC">
            <w:pPr>
              <w:rPr>
                <w:rFonts w:cs="Arial"/>
                <w:color w:val="000000"/>
                <w:szCs w:val="24"/>
              </w:rPr>
            </w:pPr>
            <w:r w:rsidRPr="0084613D">
              <w:rPr>
                <w:rFonts w:cs="Arial"/>
                <w:color w:val="000000"/>
                <w:szCs w:val="24"/>
              </w:rPr>
              <w:t>To control credit risk the County Council requires a very high credit rating from its treasury counterparties.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0DFC" w:rsidRPr="0084613D" w:rsidRDefault="005E5354" w:rsidP="000B0DFC">
            <w:pPr>
              <w:rPr>
                <w:rFonts w:cs="Arial"/>
                <w:b/>
                <w:bCs/>
                <w:color w:val="000000"/>
                <w:szCs w:val="24"/>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0B0DFC" w:rsidRPr="0084613D" w:rsidRDefault="005E5354" w:rsidP="000B0DFC">
            <w:pPr>
              <w:rPr>
                <w:rFonts w:cs="Arial"/>
                <w:b/>
                <w:bCs/>
                <w:color w:val="000000"/>
                <w:szCs w:val="24"/>
              </w:rPr>
            </w:pPr>
          </w:p>
        </w:tc>
      </w:tr>
      <w:tr w:rsidR="005519C2" w:rsidTr="0084613D">
        <w:trPr>
          <w:trHeight w:val="297"/>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84613D" w:rsidRDefault="008725D6" w:rsidP="000B0DFC">
            <w:pPr>
              <w:rPr>
                <w:rFonts w:cs="Arial"/>
                <w:color w:val="000000"/>
                <w:szCs w:val="24"/>
              </w:rPr>
            </w:pPr>
            <w:r w:rsidRPr="0084613D">
              <w:rPr>
                <w:rFonts w:cs="Arial"/>
                <w:color w:val="000000"/>
                <w:szCs w:val="24"/>
              </w:rPr>
              <w:t>Average counterparty credit rating</w:t>
            </w:r>
          </w:p>
        </w:tc>
        <w:tc>
          <w:tcPr>
            <w:tcW w:w="1560" w:type="dxa"/>
            <w:tcBorders>
              <w:top w:val="nil"/>
              <w:left w:val="nil"/>
              <w:bottom w:val="single" w:sz="4" w:space="0" w:color="auto"/>
              <w:right w:val="single" w:sz="4" w:space="0" w:color="auto"/>
            </w:tcBorders>
            <w:shd w:val="clear" w:color="auto" w:fill="auto"/>
            <w:noWrap/>
            <w:vAlign w:val="center"/>
            <w:hideMark/>
          </w:tcPr>
          <w:p w:rsidR="000B0DFC" w:rsidRPr="0084613D" w:rsidRDefault="008725D6" w:rsidP="000B0DFC">
            <w:pPr>
              <w:jc w:val="center"/>
              <w:rPr>
                <w:rFonts w:cs="Arial"/>
                <w:color w:val="000000"/>
                <w:szCs w:val="24"/>
              </w:rPr>
            </w:pPr>
            <w:r w:rsidRPr="0084613D">
              <w:rPr>
                <w:rFonts w:cs="Arial"/>
                <w:color w:val="000000"/>
                <w:szCs w:val="24"/>
              </w:rPr>
              <w:t>A+</w:t>
            </w:r>
          </w:p>
        </w:tc>
        <w:tc>
          <w:tcPr>
            <w:tcW w:w="1143" w:type="dxa"/>
            <w:tcBorders>
              <w:top w:val="nil"/>
              <w:left w:val="nil"/>
              <w:bottom w:val="single" w:sz="4" w:space="0" w:color="auto"/>
              <w:right w:val="single" w:sz="4" w:space="0" w:color="auto"/>
            </w:tcBorders>
            <w:shd w:val="clear" w:color="auto" w:fill="auto"/>
            <w:noWrap/>
            <w:vAlign w:val="center"/>
            <w:hideMark/>
          </w:tcPr>
          <w:p w:rsidR="000B0DFC" w:rsidRPr="0084613D" w:rsidRDefault="008725D6" w:rsidP="000B0DFC">
            <w:pPr>
              <w:jc w:val="center"/>
              <w:rPr>
                <w:rFonts w:cs="Arial"/>
                <w:color w:val="000000"/>
                <w:szCs w:val="24"/>
              </w:rPr>
            </w:pPr>
            <w:r w:rsidRPr="0084613D">
              <w:rPr>
                <w:rFonts w:cs="Arial"/>
                <w:color w:val="000000"/>
                <w:szCs w:val="24"/>
              </w:rPr>
              <w:t>AA+</w:t>
            </w:r>
          </w:p>
        </w:tc>
      </w:tr>
    </w:tbl>
    <w:p w:rsidR="00FA77D0" w:rsidRPr="006E09A0" w:rsidRDefault="00FA77D0" w:rsidP="003C6D0F">
      <w:pPr>
        <w:jc w:val="both"/>
        <w:rPr>
          <w:rFonts w:cs="Arial"/>
          <w:b/>
          <w:sz w:val="16"/>
          <w:szCs w:val="16"/>
          <w:u w:val="single"/>
        </w:rPr>
      </w:pPr>
    </w:p>
    <w:sectPr w:rsidR="00FA77D0" w:rsidRPr="006E09A0" w:rsidSect="0072328A">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70" w:rsidRDefault="00780870">
      <w:r>
        <w:separator/>
      </w:r>
    </w:p>
  </w:endnote>
  <w:endnote w:type="continuationSeparator" w:id="0">
    <w:p w:rsidR="00780870" w:rsidRDefault="0078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23" w:rsidRDefault="005E5354">
    <w:pPr>
      <w:pStyle w:val="Footer"/>
      <w:jc w:val="center"/>
    </w:pPr>
  </w:p>
  <w:p w:rsidR="000331F9" w:rsidRDefault="005E5354">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56984"/>
      <w:docPartObj>
        <w:docPartGallery w:val="Page Numbers (Bottom of Page)"/>
        <w:docPartUnique/>
      </w:docPartObj>
    </w:sdtPr>
    <w:sdtEndPr>
      <w:rPr>
        <w:noProof/>
      </w:rPr>
    </w:sdtEndPr>
    <w:sdtContent>
      <w:p w:rsidR="00160111" w:rsidRDefault="008725D6">
        <w:pPr>
          <w:pStyle w:val="Footer"/>
          <w:jc w:val="center"/>
        </w:pPr>
        <w:r>
          <w:fldChar w:fldCharType="begin"/>
        </w:r>
        <w:r>
          <w:instrText xml:space="preserve"> PAGE   \* MERGEFORMAT </w:instrText>
        </w:r>
        <w:r>
          <w:fldChar w:fldCharType="separate"/>
        </w:r>
        <w:r w:rsidR="0072328A">
          <w:rPr>
            <w:noProof/>
          </w:rPr>
          <w:t>1</w:t>
        </w:r>
        <w:r>
          <w:rPr>
            <w:noProof/>
          </w:rPr>
          <w:fldChar w:fldCharType="end"/>
        </w:r>
      </w:p>
    </w:sdtContent>
  </w:sdt>
  <w:p w:rsidR="000331F9" w:rsidRDefault="005E5354">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70" w:rsidRDefault="00780870">
      <w:r>
        <w:separator/>
      </w:r>
    </w:p>
  </w:footnote>
  <w:footnote w:type="continuationSeparator" w:id="0">
    <w:p w:rsidR="00780870" w:rsidRDefault="0078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1F9" w:rsidRDefault="005E5354">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BAF2496E">
      <w:start w:val="1"/>
      <w:numFmt w:val="bullet"/>
      <w:lvlText w:val=""/>
      <w:lvlJc w:val="left"/>
      <w:pPr>
        <w:ind w:left="1485" w:hanging="360"/>
      </w:pPr>
      <w:rPr>
        <w:rFonts w:ascii="Symbol" w:hAnsi="Symbol" w:hint="default"/>
      </w:rPr>
    </w:lvl>
    <w:lvl w:ilvl="1" w:tplc="5BD42F72" w:tentative="1">
      <w:start w:val="1"/>
      <w:numFmt w:val="bullet"/>
      <w:lvlText w:val="o"/>
      <w:lvlJc w:val="left"/>
      <w:pPr>
        <w:ind w:left="2205" w:hanging="360"/>
      </w:pPr>
      <w:rPr>
        <w:rFonts w:ascii="Courier New" w:hAnsi="Courier New" w:hint="default"/>
      </w:rPr>
    </w:lvl>
    <w:lvl w:ilvl="2" w:tplc="8DA0C8EC" w:tentative="1">
      <w:start w:val="1"/>
      <w:numFmt w:val="bullet"/>
      <w:lvlText w:val=""/>
      <w:lvlJc w:val="left"/>
      <w:pPr>
        <w:ind w:left="2925" w:hanging="360"/>
      </w:pPr>
      <w:rPr>
        <w:rFonts w:ascii="Wingdings" w:hAnsi="Wingdings" w:hint="default"/>
      </w:rPr>
    </w:lvl>
    <w:lvl w:ilvl="3" w:tplc="7BC47A9E" w:tentative="1">
      <w:start w:val="1"/>
      <w:numFmt w:val="bullet"/>
      <w:lvlText w:val=""/>
      <w:lvlJc w:val="left"/>
      <w:pPr>
        <w:ind w:left="3645" w:hanging="360"/>
      </w:pPr>
      <w:rPr>
        <w:rFonts w:ascii="Symbol" w:hAnsi="Symbol" w:hint="default"/>
      </w:rPr>
    </w:lvl>
    <w:lvl w:ilvl="4" w:tplc="A47478C2" w:tentative="1">
      <w:start w:val="1"/>
      <w:numFmt w:val="bullet"/>
      <w:lvlText w:val="o"/>
      <w:lvlJc w:val="left"/>
      <w:pPr>
        <w:ind w:left="4365" w:hanging="360"/>
      </w:pPr>
      <w:rPr>
        <w:rFonts w:ascii="Courier New" w:hAnsi="Courier New" w:hint="default"/>
      </w:rPr>
    </w:lvl>
    <w:lvl w:ilvl="5" w:tplc="28022648" w:tentative="1">
      <w:start w:val="1"/>
      <w:numFmt w:val="bullet"/>
      <w:lvlText w:val=""/>
      <w:lvlJc w:val="left"/>
      <w:pPr>
        <w:ind w:left="5085" w:hanging="360"/>
      </w:pPr>
      <w:rPr>
        <w:rFonts w:ascii="Wingdings" w:hAnsi="Wingdings" w:hint="default"/>
      </w:rPr>
    </w:lvl>
    <w:lvl w:ilvl="6" w:tplc="FBE6715E" w:tentative="1">
      <w:start w:val="1"/>
      <w:numFmt w:val="bullet"/>
      <w:lvlText w:val=""/>
      <w:lvlJc w:val="left"/>
      <w:pPr>
        <w:ind w:left="5805" w:hanging="360"/>
      </w:pPr>
      <w:rPr>
        <w:rFonts w:ascii="Symbol" w:hAnsi="Symbol" w:hint="default"/>
      </w:rPr>
    </w:lvl>
    <w:lvl w:ilvl="7" w:tplc="AFC4A2BE" w:tentative="1">
      <w:start w:val="1"/>
      <w:numFmt w:val="bullet"/>
      <w:lvlText w:val="o"/>
      <w:lvlJc w:val="left"/>
      <w:pPr>
        <w:ind w:left="6525" w:hanging="360"/>
      </w:pPr>
      <w:rPr>
        <w:rFonts w:ascii="Courier New" w:hAnsi="Courier New" w:hint="default"/>
      </w:rPr>
    </w:lvl>
    <w:lvl w:ilvl="8" w:tplc="D0F4CF70"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BD5AAA4A">
      <w:start w:val="1"/>
      <w:numFmt w:val="bullet"/>
      <w:lvlText w:val=""/>
      <w:lvlJc w:val="left"/>
      <w:pPr>
        <w:ind w:left="720" w:hanging="360"/>
      </w:pPr>
      <w:rPr>
        <w:rFonts w:ascii="Symbol" w:hAnsi="Symbol" w:hint="default"/>
      </w:rPr>
    </w:lvl>
    <w:lvl w:ilvl="1" w:tplc="6D12D1E8">
      <w:start w:val="1"/>
      <w:numFmt w:val="bullet"/>
      <w:lvlText w:val="o"/>
      <w:lvlJc w:val="left"/>
      <w:pPr>
        <w:ind w:left="1440" w:hanging="360"/>
      </w:pPr>
      <w:rPr>
        <w:rFonts w:ascii="Courier New" w:hAnsi="Courier New" w:hint="default"/>
      </w:rPr>
    </w:lvl>
    <w:lvl w:ilvl="2" w:tplc="52724B7C" w:tentative="1">
      <w:start w:val="1"/>
      <w:numFmt w:val="bullet"/>
      <w:lvlText w:val=""/>
      <w:lvlJc w:val="left"/>
      <w:pPr>
        <w:ind w:left="2160" w:hanging="360"/>
      </w:pPr>
      <w:rPr>
        <w:rFonts w:ascii="Wingdings" w:hAnsi="Wingdings" w:hint="default"/>
      </w:rPr>
    </w:lvl>
    <w:lvl w:ilvl="3" w:tplc="4C0AA494" w:tentative="1">
      <w:start w:val="1"/>
      <w:numFmt w:val="bullet"/>
      <w:lvlText w:val=""/>
      <w:lvlJc w:val="left"/>
      <w:pPr>
        <w:ind w:left="2880" w:hanging="360"/>
      </w:pPr>
      <w:rPr>
        <w:rFonts w:ascii="Symbol" w:hAnsi="Symbol" w:hint="default"/>
      </w:rPr>
    </w:lvl>
    <w:lvl w:ilvl="4" w:tplc="411C22E0" w:tentative="1">
      <w:start w:val="1"/>
      <w:numFmt w:val="bullet"/>
      <w:lvlText w:val="o"/>
      <w:lvlJc w:val="left"/>
      <w:pPr>
        <w:ind w:left="3600" w:hanging="360"/>
      </w:pPr>
      <w:rPr>
        <w:rFonts w:ascii="Courier New" w:hAnsi="Courier New" w:hint="default"/>
      </w:rPr>
    </w:lvl>
    <w:lvl w:ilvl="5" w:tplc="5A4EF1AA" w:tentative="1">
      <w:start w:val="1"/>
      <w:numFmt w:val="bullet"/>
      <w:lvlText w:val=""/>
      <w:lvlJc w:val="left"/>
      <w:pPr>
        <w:ind w:left="4320" w:hanging="360"/>
      </w:pPr>
      <w:rPr>
        <w:rFonts w:ascii="Wingdings" w:hAnsi="Wingdings" w:hint="default"/>
      </w:rPr>
    </w:lvl>
    <w:lvl w:ilvl="6" w:tplc="AD4CB524" w:tentative="1">
      <w:start w:val="1"/>
      <w:numFmt w:val="bullet"/>
      <w:lvlText w:val=""/>
      <w:lvlJc w:val="left"/>
      <w:pPr>
        <w:ind w:left="5040" w:hanging="360"/>
      </w:pPr>
      <w:rPr>
        <w:rFonts w:ascii="Symbol" w:hAnsi="Symbol" w:hint="default"/>
      </w:rPr>
    </w:lvl>
    <w:lvl w:ilvl="7" w:tplc="B01CD1FC" w:tentative="1">
      <w:start w:val="1"/>
      <w:numFmt w:val="bullet"/>
      <w:lvlText w:val="o"/>
      <w:lvlJc w:val="left"/>
      <w:pPr>
        <w:ind w:left="5760" w:hanging="360"/>
      </w:pPr>
      <w:rPr>
        <w:rFonts w:ascii="Courier New" w:hAnsi="Courier New" w:hint="default"/>
      </w:rPr>
    </w:lvl>
    <w:lvl w:ilvl="8" w:tplc="3D80E422"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11728648">
      <w:start w:val="1"/>
      <w:numFmt w:val="decimal"/>
      <w:lvlText w:val="%1."/>
      <w:lvlJc w:val="left"/>
      <w:pPr>
        <w:ind w:left="720" w:hanging="360"/>
      </w:pPr>
      <w:rPr>
        <w:rFonts w:cs="Times New Roman" w:hint="default"/>
      </w:rPr>
    </w:lvl>
    <w:lvl w:ilvl="1" w:tplc="211EDE20" w:tentative="1">
      <w:start w:val="1"/>
      <w:numFmt w:val="lowerLetter"/>
      <w:lvlText w:val="%2."/>
      <w:lvlJc w:val="left"/>
      <w:pPr>
        <w:ind w:left="1440" w:hanging="360"/>
      </w:pPr>
      <w:rPr>
        <w:rFonts w:cs="Times New Roman"/>
      </w:rPr>
    </w:lvl>
    <w:lvl w:ilvl="2" w:tplc="140EA6B2" w:tentative="1">
      <w:start w:val="1"/>
      <w:numFmt w:val="lowerRoman"/>
      <w:lvlText w:val="%3."/>
      <w:lvlJc w:val="right"/>
      <w:pPr>
        <w:ind w:left="2160" w:hanging="180"/>
      </w:pPr>
      <w:rPr>
        <w:rFonts w:cs="Times New Roman"/>
      </w:rPr>
    </w:lvl>
    <w:lvl w:ilvl="3" w:tplc="AF3AC3A4" w:tentative="1">
      <w:start w:val="1"/>
      <w:numFmt w:val="decimal"/>
      <w:lvlText w:val="%4."/>
      <w:lvlJc w:val="left"/>
      <w:pPr>
        <w:ind w:left="2880" w:hanging="360"/>
      </w:pPr>
      <w:rPr>
        <w:rFonts w:cs="Times New Roman"/>
      </w:rPr>
    </w:lvl>
    <w:lvl w:ilvl="4" w:tplc="E5A224FE" w:tentative="1">
      <w:start w:val="1"/>
      <w:numFmt w:val="lowerLetter"/>
      <w:lvlText w:val="%5."/>
      <w:lvlJc w:val="left"/>
      <w:pPr>
        <w:ind w:left="3600" w:hanging="360"/>
      </w:pPr>
      <w:rPr>
        <w:rFonts w:cs="Times New Roman"/>
      </w:rPr>
    </w:lvl>
    <w:lvl w:ilvl="5" w:tplc="8E2EFA3A" w:tentative="1">
      <w:start w:val="1"/>
      <w:numFmt w:val="lowerRoman"/>
      <w:lvlText w:val="%6."/>
      <w:lvlJc w:val="right"/>
      <w:pPr>
        <w:ind w:left="4320" w:hanging="180"/>
      </w:pPr>
      <w:rPr>
        <w:rFonts w:cs="Times New Roman"/>
      </w:rPr>
    </w:lvl>
    <w:lvl w:ilvl="6" w:tplc="49E2D6EA" w:tentative="1">
      <w:start w:val="1"/>
      <w:numFmt w:val="decimal"/>
      <w:lvlText w:val="%7."/>
      <w:lvlJc w:val="left"/>
      <w:pPr>
        <w:ind w:left="5040" w:hanging="360"/>
      </w:pPr>
      <w:rPr>
        <w:rFonts w:cs="Times New Roman"/>
      </w:rPr>
    </w:lvl>
    <w:lvl w:ilvl="7" w:tplc="6DB8A4E2" w:tentative="1">
      <w:start w:val="1"/>
      <w:numFmt w:val="lowerLetter"/>
      <w:lvlText w:val="%8."/>
      <w:lvlJc w:val="left"/>
      <w:pPr>
        <w:ind w:left="5760" w:hanging="360"/>
      </w:pPr>
      <w:rPr>
        <w:rFonts w:cs="Times New Roman"/>
      </w:rPr>
    </w:lvl>
    <w:lvl w:ilvl="8" w:tplc="ED9AE748"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6BA40A24">
      <w:start w:val="1"/>
      <w:numFmt w:val="decimal"/>
      <w:lvlText w:val="%1."/>
      <w:lvlJc w:val="left"/>
      <w:pPr>
        <w:ind w:left="360" w:hanging="360"/>
      </w:pPr>
      <w:rPr>
        <w:rFonts w:cs="Times New Roman"/>
        <w:b/>
      </w:rPr>
    </w:lvl>
    <w:lvl w:ilvl="1" w:tplc="86C6C318" w:tentative="1">
      <w:start w:val="1"/>
      <w:numFmt w:val="lowerLetter"/>
      <w:lvlText w:val="%2."/>
      <w:lvlJc w:val="left"/>
      <w:pPr>
        <w:ind w:left="1080" w:hanging="360"/>
      </w:pPr>
      <w:rPr>
        <w:rFonts w:cs="Times New Roman"/>
      </w:rPr>
    </w:lvl>
    <w:lvl w:ilvl="2" w:tplc="2940EFC8" w:tentative="1">
      <w:start w:val="1"/>
      <w:numFmt w:val="lowerRoman"/>
      <w:lvlText w:val="%3."/>
      <w:lvlJc w:val="right"/>
      <w:pPr>
        <w:ind w:left="1800" w:hanging="180"/>
      </w:pPr>
      <w:rPr>
        <w:rFonts w:cs="Times New Roman"/>
      </w:rPr>
    </w:lvl>
    <w:lvl w:ilvl="3" w:tplc="8326DB08" w:tentative="1">
      <w:start w:val="1"/>
      <w:numFmt w:val="decimal"/>
      <w:lvlText w:val="%4."/>
      <w:lvlJc w:val="left"/>
      <w:pPr>
        <w:ind w:left="2520" w:hanging="360"/>
      </w:pPr>
      <w:rPr>
        <w:rFonts w:cs="Times New Roman"/>
      </w:rPr>
    </w:lvl>
    <w:lvl w:ilvl="4" w:tplc="567C59C2" w:tentative="1">
      <w:start w:val="1"/>
      <w:numFmt w:val="lowerLetter"/>
      <w:lvlText w:val="%5."/>
      <w:lvlJc w:val="left"/>
      <w:pPr>
        <w:ind w:left="3240" w:hanging="360"/>
      </w:pPr>
      <w:rPr>
        <w:rFonts w:cs="Times New Roman"/>
      </w:rPr>
    </w:lvl>
    <w:lvl w:ilvl="5" w:tplc="C1265114" w:tentative="1">
      <w:start w:val="1"/>
      <w:numFmt w:val="lowerRoman"/>
      <w:lvlText w:val="%6."/>
      <w:lvlJc w:val="right"/>
      <w:pPr>
        <w:ind w:left="3960" w:hanging="180"/>
      </w:pPr>
      <w:rPr>
        <w:rFonts w:cs="Times New Roman"/>
      </w:rPr>
    </w:lvl>
    <w:lvl w:ilvl="6" w:tplc="F4445C98" w:tentative="1">
      <w:start w:val="1"/>
      <w:numFmt w:val="decimal"/>
      <w:lvlText w:val="%7."/>
      <w:lvlJc w:val="left"/>
      <w:pPr>
        <w:ind w:left="4680" w:hanging="360"/>
      </w:pPr>
      <w:rPr>
        <w:rFonts w:cs="Times New Roman"/>
      </w:rPr>
    </w:lvl>
    <w:lvl w:ilvl="7" w:tplc="92AC3F32" w:tentative="1">
      <w:start w:val="1"/>
      <w:numFmt w:val="lowerLetter"/>
      <w:lvlText w:val="%8."/>
      <w:lvlJc w:val="left"/>
      <w:pPr>
        <w:ind w:left="5400" w:hanging="360"/>
      </w:pPr>
      <w:rPr>
        <w:rFonts w:cs="Times New Roman"/>
      </w:rPr>
    </w:lvl>
    <w:lvl w:ilvl="8" w:tplc="C8D41ADA"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A11889B4">
      <w:start w:val="6"/>
      <w:numFmt w:val="decimal"/>
      <w:lvlText w:val="%1"/>
      <w:lvlJc w:val="left"/>
      <w:pPr>
        <w:ind w:left="720" w:hanging="360"/>
      </w:pPr>
      <w:rPr>
        <w:rFonts w:hint="default"/>
      </w:rPr>
    </w:lvl>
    <w:lvl w:ilvl="1" w:tplc="305218C8" w:tentative="1">
      <w:start w:val="1"/>
      <w:numFmt w:val="lowerLetter"/>
      <w:lvlText w:val="%2."/>
      <w:lvlJc w:val="left"/>
      <w:pPr>
        <w:ind w:left="1440" w:hanging="360"/>
      </w:pPr>
    </w:lvl>
    <w:lvl w:ilvl="2" w:tplc="351258F2" w:tentative="1">
      <w:start w:val="1"/>
      <w:numFmt w:val="lowerRoman"/>
      <w:lvlText w:val="%3."/>
      <w:lvlJc w:val="right"/>
      <w:pPr>
        <w:ind w:left="2160" w:hanging="180"/>
      </w:pPr>
    </w:lvl>
    <w:lvl w:ilvl="3" w:tplc="B8B6C6F8" w:tentative="1">
      <w:start w:val="1"/>
      <w:numFmt w:val="decimal"/>
      <w:lvlText w:val="%4."/>
      <w:lvlJc w:val="left"/>
      <w:pPr>
        <w:ind w:left="2880" w:hanging="360"/>
      </w:pPr>
    </w:lvl>
    <w:lvl w:ilvl="4" w:tplc="9AE4CD28" w:tentative="1">
      <w:start w:val="1"/>
      <w:numFmt w:val="lowerLetter"/>
      <w:lvlText w:val="%5."/>
      <w:lvlJc w:val="left"/>
      <w:pPr>
        <w:ind w:left="3600" w:hanging="360"/>
      </w:pPr>
    </w:lvl>
    <w:lvl w:ilvl="5" w:tplc="FBAA54AC" w:tentative="1">
      <w:start w:val="1"/>
      <w:numFmt w:val="lowerRoman"/>
      <w:lvlText w:val="%6."/>
      <w:lvlJc w:val="right"/>
      <w:pPr>
        <w:ind w:left="4320" w:hanging="180"/>
      </w:pPr>
    </w:lvl>
    <w:lvl w:ilvl="6" w:tplc="B7EC5A56" w:tentative="1">
      <w:start w:val="1"/>
      <w:numFmt w:val="decimal"/>
      <w:lvlText w:val="%7."/>
      <w:lvlJc w:val="left"/>
      <w:pPr>
        <w:ind w:left="5040" w:hanging="360"/>
      </w:pPr>
    </w:lvl>
    <w:lvl w:ilvl="7" w:tplc="269A4B28" w:tentative="1">
      <w:start w:val="1"/>
      <w:numFmt w:val="lowerLetter"/>
      <w:lvlText w:val="%8."/>
      <w:lvlJc w:val="left"/>
      <w:pPr>
        <w:ind w:left="5760" w:hanging="360"/>
      </w:pPr>
    </w:lvl>
    <w:lvl w:ilvl="8" w:tplc="8F624446"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F356C9E6">
      <w:start w:val="5"/>
      <w:numFmt w:val="decimal"/>
      <w:lvlText w:val="%1"/>
      <w:lvlJc w:val="left"/>
      <w:pPr>
        <w:ind w:left="1080" w:hanging="360"/>
      </w:pPr>
      <w:rPr>
        <w:rFonts w:hint="default"/>
      </w:rPr>
    </w:lvl>
    <w:lvl w:ilvl="1" w:tplc="23605BD8" w:tentative="1">
      <w:start w:val="1"/>
      <w:numFmt w:val="lowerLetter"/>
      <w:lvlText w:val="%2."/>
      <w:lvlJc w:val="left"/>
      <w:pPr>
        <w:ind w:left="1800" w:hanging="360"/>
      </w:pPr>
    </w:lvl>
    <w:lvl w:ilvl="2" w:tplc="FE803CC6" w:tentative="1">
      <w:start w:val="1"/>
      <w:numFmt w:val="lowerRoman"/>
      <w:lvlText w:val="%3."/>
      <w:lvlJc w:val="right"/>
      <w:pPr>
        <w:ind w:left="2520" w:hanging="180"/>
      </w:pPr>
    </w:lvl>
    <w:lvl w:ilvl="3" w:tplc="E4E2788A" w:tentative="1">
      <w:start w:val="1"/>
      <w:numFmt w:val="decimal"/>
      <w:lvlText w:val="%4."/>
      <w:lvlJc w:val="left"/>
      <w:pPr>
        <w:ind w:left="3240" w:hanging="360"/>
      </w:pPr>
    </w:lvl>
    <w:lvl w:ilvl="4" w:tplc="D4AA25D4" w:tentative="1">
      <w:start w:val="1"/>
      <w:numFmt w:val="lowerLetter"/>
      <w:lvlText w:val="%5."/>
      <w:lvlJc w:val="left"/>
      <w:pPr>
        <w:ind w:left="3960" w:hanging="360"/>
      </w:pPr>
    </w:lvl>
    <w:lvl w:ilvl="5" w:tplc="B972DAEE" w:tentative="1">
      <w:start w:val="1"/>
      <w:numFmt w:val="lowerRoman"/>
      <w:lvlText w:val="%6."/>
      <w:lvlJc w:val="right"/>
      <w:pPr>
        <w:ind w:left="4680" w:hanging="180"/>
      </w:pPr>
    </w:lvl>
    <w:lvl w:ilvl="6" w:tplc="59B2802C" w:tentative="1">
      <w:start w:val="1"/>
      <w:numFmt w:val="decimal"/>
      <w:lvlText w:val="%7."/>
      <w:lvlJc w:val="left"/>
      <w:pPr>
        <w:ind w:left="5400" w:hanging="360"/>
      </w:pPr>
    </w:lvl>
    <w:lvl w:ilvl="7" w:tplc="8B387680" w:tentative="1">
      <w:start w:val="1"/>
      <w:numFmt w:val="lowerLetter"/>
      <w:lvlText w:val="%8."/>
      <w:lvlJc w:val="left"/>
      <w:pPr>
        <w:ind w:left="6120" w:hanging="360"/>
      </w:pPr>
    </w:lvl>
    <w:lvl w:ilvl="8" w:tplc="7AB0498A"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EF16C808">
      <w:start w:val="1"/>
      <w:numFmt w:val="decimal"/>
      <w:lvlText w:val="%1."/>
      <w:lvlJc w:val="left"/>
      <w:pPr>
        <w:ind w:left="720" w:hanging="360"/>
      </w:pPr>
      <w:rPr>
        <w:rFonts w:cs="Times New Roman" w:hint="default"/>
      </w:rPr>
    </w:lvl>
    <w:lvl w:ilvl="1" w:tplc="8E2E2060" w:tentative="1">
      <w:start w:val="1"/>
      <w:numFmt w:val="lowerLetter"/>
      <w:lvlText w:val="%2."/>
      <w:lvlJc w:val="left"/>
      <w:pPr>
        <w:ind w:left="1440" w:hanging="360"/>
      </w:pPr>
      <w:rPr>
        <w:rFonts w:cs="Times New Roman"/>
      </w:rPr>
    </w:lvl>
    <w:lvl w:ilvl="2" w:tplc="48CC2384" w:tentative="1">
      <w:start w:val="1"/>
      <w:numFmt w:val="lowerRoman"/>
      <w:lvlText w:val="%3."/>
      <w:lvlJc w:val="right"/>
      <w:pPr>
        <w:ind w:left="2160" w:hanging="180"/>
      </w:pPr>
      <w:rPr>
        <w:rFonts w:cs="Times New Roman"/>
      </w:rPr>
    </w:lvl>
    <w:lvl w:ilvl="3" w:tplc="0700EA00" w:tentative="1">
      <w:start w:val="1"/>
      <w:numFmt w:val="decimal"/>
      <w:lvlText w:val="%4."/>
      <w:lvlJc w:val="left"/>
      <w:pPr>
        <w:ind w:left="2880" w:hanging="360"/>
      </w:pPr>
      <w:rPr>
        <w:rFonts w:cs="Times New Roman"/>
      </w:rPr>
    </w:lvl>
    <w:lvl w:ilvl="4" w:tplc="964C66FC" w:tentative="1">
      <w:start w:val="1"/>
      <w:numFmt w:val="lowerLetter"/>
      <w:lvlText w:val="%5."/>
      <w:lvlJc w:val="left"/>
      <w:pPr>
        <w:ind w:left="3600" w:hanging="360"/>
      </w:pPr>
      <w:rPr>
        <w:rFonts w:cs="Times New Roman"/>
      </w:rPr>
    </w:lvl>
    <w:lvl w:ilvl="5" w:tplc="4184B8B6" w:tentative="1">
      <w:start w:val="1"/>
      <w:numFmt w:val="lowerRoman"/>
      <w:lvlText w:val="%6."/>
      <w:lvlJc w:val="right"/>
      <w:pPr>
        <w:ind w:left="4320" w:hanging="180"/>
      </w:pPr>
      <w:rPr>
        <w:rFonts w:cs="Times New Roman"/>
      </w:rPr>
    </w:lvl>
    <w:lvl w:ilvl="6" w:tplc="9738AD3E" w:tentative="1">
      <w:start w:val="1"/>
      <w:numFmt w:val="decimal"/>
      <w:lvlText w:val="%7."/>
      <w:lvlJc w:val="left"/>
      <w:pPr>
        <w:ind w:left="5040" w:hanging="360"/>
      </w:pPr>
      <w:rPr>
        <w:rFonts w:cs="Times New Roman"/>
      </w:rPr>
    </w:lvl>
    <w:lvl w:ilvl="7" w:tplc="C0F05ED8" w:tentative="1">
      <w:start w:val="1"/>
      <w:numFmt w:val="lowerLetter"/>
      <w:lvlText w:val="%8."/>
      <w:lvlJc w:val="left"/>
      <w:pPr>
        <w:ind w:left="5760" w:hanging="360"/>
      </w:pPr>
      <w:rPr>
        <w:rFonts w:cs="Times New Roman"/>
      </w:rPr>
    </w:lvl>
    <w:lvl w:ilvl="8" w:tplc="D70C9A86"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8514F610">
      <w:start w:val="1"/>
      <w:numFmt w:val="bullet"/>
      <w:lvlText w:val=""/>
      <w:lvlJc w:val="left"/>
      <w:pPr>
        <w:ind w:left="720" w:hanging="360"/>
      </w:pPr>
      <w:rPr>
        <w:rFonts w:ascii="Symbol" w:hAnsi="Symbol" w:hint="default"/>
      </w:rPr>
    </w:lvl>
    <w:lvl w:ilvl="1" w:tplc="851CE394" w:tentative="1">
      <w:start w:val="1"/>
      <w:numFmt w:val="bullet"/>
      <w:lvlText w:val="o"/>
      <w:lvlJc w:val="left"/>
      <w:pPr>
        <w:ind w:left="1440" w:hanging="360"/>
      </w:pPr>
      <w:rPr>
        <w:rFonts w:ascii="Courier New" w:hAnsi="Courier New" w:hint="default"/>
      </w:rPr>
    </w:lvl>
    <w:lvl w:ilvl="2" w:tplc="42A87156" w:tentative="1">
      <w:start w:val="1"/>
      <w:numFmt w:val="bullet"/>
      <w:lvlText w:val=""/>
      <w:lvlJc w:val="left"/>
      <w:pPr>
        <w:ind w:left="2160" w:hanging="360"/>
      </w:pPr>
      <w:rPr>
        <w:rFonts w:ascii="Wingdings" w:hAnsi="Wingdings" w:hint="default"/>
      </w:rPr>
    </w:lvl>
    <w:lvl w:ilvl="3" w:tplc="814A81AC" w:tentative="1">
      <w:start w:val="1"/>
      <w:numFmt w:val="bullet"/>
      <w:lvlText w:val=""/>
      <w:lvlJc w:val="left"/>
      <w:pPr>
        <w:ind w:left="2880" w:hanging="360"/>
      </w:pPr>
      <w:rPr>
        <w:rFonts w:ascii="Symbol" w:hAnsi="Symbol" w:hint="default"/>
      </w:rPr>
    </w:lvl>
    <w:lvl w:ilvl="4" w:tplc="22C2ADBA" w:tentative="1">
      <w:start w:val="1"/>
      <w:numFmt w:val="bullet"/>
      <w:lvlText w:val="o"/>
      <w:lvlJc w:val="left"/>
      <w:pPr>
        <w:ind w:left="3600" w:hanging="360"/>
      </w:pPr>
      <w:rPr>
        <w:rFonts w:ascii="Courier New" w:hAnsi="Courier New" w:hint="default"/>
      </w:rPr>
    </w:lvl>
    <w:lvl w:ilvl="5" w:tplc="405EA1B4" w:tentative="1">
      <w:start w:val="1"/>
      <w:numFmt w:val="bullet"/>
      <w:lvlText w:val=""/>
      <w:lvlJc w:val="left"/>
      <w:pPr>
        <w:ind w:left="4320" w:hanging="360"/>
      </w:pPr>
      <w:rPr>
        <w:rFonts w:ascii="Wingdings" w:hAnsi="Wingdings" w:hint="default"/>
      </w:rPr>
    </w:lvl>
    <w:lvl w:ilvl="6" w:tplc="214495E2" w:tentative="1">
      <w:start w:val="1"/>
      <w:numFmt w:val="bullet"/>
      <w:lvlText w:val=""/>
      <w:lvlJc w:val="left"/>
      <w:pPr>
        <w:ind w:left="5040" w:hanging="360"/>
      </w:pPr>
      <w:rPr>
        <w:rFonts w:ascii="Symbol" w:hAnsi="Symbol" w:hint="default"/>
      </w:rPr>
    </w:lvl>
    <w:lvl w:ilvl="7" w:tplc="7AF48532" w:tentative="1">
      <w:start w:val="1"/>
      <w:numFmt w:val="bullet"/>
      <w:lvlText w:val="o"/>
      <w:lvlJc w:val="left"/>
      <w:pPr>
        <w:ind w:left="5760" w:hanging="360"/>
      </w:pPr>
      <w:rPr>
        <w:rFonts w:ascii="Courier New" w:hAnsi="Courier New" w:hint="default"/>
      </w:rPr>
    </w:lvl>
    <w:lvl w:ilvl="8" w:tplc="5A90D6B4"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88D61A0A">
      <w:start w:val="1"/>
      <w:numFmt w:val="decimal"/>
      <w:lvlText w:val="%1."/>
      <w:lvlJc w:val="left"/>
      <w:pPr>
        <w:ind w:left="786" w:hanging="360"/>
      </w:pPr>
      <w:rPr>
        <w:rFonts w:cs="Times New Roman" w:hint="default"/>
      </w:rPr>
    </w:lvl>
    <w:lvl w:ilvl="1" w:tplc="3BC4276E" w:tentative="1">
      <w:start w:val="1"/>
      <w:numFmt w:val="lowerLetter"/>
      <w:lvlText w:val="%2."/>
      <w:lvlJc w:val="left"/>
      <w:pPr>
        <w:ind w:left="1506" w:hanging="360"/>
      </w:pPr>
      <w:rPr>
        <w:rFonts w:cs="Times New Roman"/>
      </w:rPr>
    </w:lvl>
    <w:lvl w:ilvl="2" w:tplc="16449E6C" w:tentative="1">
      <w:start w:val="1"/>
      <w:numFmt w:val="lowerRoman"/>
      <w:lvlText w:val="%3."/>
      <w:lvlJc w:val="right"/>
      <w:pPr>
        <w:ind w:left="2226" w:hanging="180"/>
      </w:pPr>
      <w:rPr>
        <w:rFonts w:cs="Times New Roman"/>
      </w:rPr>
    </w:lvl>
    <w:lvl w:ilvl="3" w:tplc="0158E43E" w:tentative="1">
      <w:start w:val="1"/>
      <w:numFmt w:val="decimal"/>
      <w:lvlText w:val="%4."/>
      <w:lvlJc w:val="left"/>
      <w:pPr>
        <w:ind w:left="2946" w:hanging="360"/>
      </w:pPr>
      <w:rPr>
        <w:rFonts w:cs="Times New Roman"/>
      </w:rPr>
    </w:lvl>
    <w:lvl w:ilvl="4" w:tplc="9C6C7E64" w:tentative="1">
      <w:start w:val="1"/>
      <w:numFmt w:val="lowerLetter"/>
      <w:lvlText w:val="%5."/>
      <w:lvlJc w:val="left"/>
      <w:pPr>
        <w:ind w:left="3666" w:hanging="360"/>
      </w:pPr>
      <w:rPr>
        <w:rFonts w:cs="Times New Roman"/>
      </w:rPr>
    </w:lvl>
    <w:lvl w:ilvl="5" w:tplc="3FFCF64E" w:tentative="1">
      <w:start w:val="1"/>
      <w:numFmt w:val="lowerRoman"/>
      <w:lvlText w:val="%6."/>
      <w:lvlJc w:val="right"/>
      <w:pPr>
        <w:ind w:left="4386" w:hanging="180"/>
      </w:pPr>
      <w:rPr>
        <w:rFonts w:cs="Times New Roman"/>
      </w:rPr>
    </w:lvl>
    <w:lvl w:ilvl="6" w:tplc="CC2EB4AA" w:tentative="1">
      <w:start w:val="1"/>
      <w:numFmt w:val="decimal"/>
      <w:lvlText w:val="%7."/>
      <w:lvlJc w:val="left"/>
      <w:pPr>
        <w:ind w:left="5106" w:hanging="360"/>
      </w:pPr>
      <w:rPr>
        <w:rFonts w:cs="Times New Roman"/>
      </w:rPr>
    </w:lvl>
    <w:lvl w:ilvl="7" w:tplc="8604C936" w:tentative="1">
      <w:start w:val="1"/>
      <w:numFmt w:val="lowerLetter"/>
      <w:lvlText w:val="%8."/>
      <w:lvlJc w:val="left"/>
      <w:pPr>
        <w:ind w:left="5826" w:hanging="360"/>
      </w:pPr>
      <w:rPr>
        <w:rFonts w:cs="Times New Roman"/>
      </w:rPr>
    </w:lvl>
    <w:lvl w:ilvl="8" w:tplc="B5DA1C96"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B2FCDCE4">
      <w:start w:val="6"/>
      <w:numFmt w:val="decimal"/>
      <w:lvlText w:val="%1."/>
      <w:lvlJc w:val="left"/>
      <w:pPr>
        <w:ind w:left="720" w:hanging="360"/>
      </w:pPr>
      <w:rPr>
        <w:rFonts w:hint="default"/>
        <w:b/>
      </w:rPr>
    </w:lvl>
    <w:lvl w:ilvl="1" w:tplc="9DAC7332" w:tentative="1">
      <w:start w:val="1"/>
      <w:numFmt w:val="lowerLetter"/>
      <w:lvlText w:val="%2."/>
      <w:lvlJc w:val="left"/>
      <w:pPr>
        <w:ind w:left="1440" w:hanging="360"/>
      </w:pPr>
    </w:lvl>
    <w:lvl w:ilvl="2" w:tplc="AA24C448" w:tentative="1">
      <w:start w:val="1"/>
      <w:numFmt w:val="lowerRoman"/>
      <w:lvlText w:val="%3."/>
      <w:lvlJc w:val="right"/>
      <w:pPr>
        <w:ind w:left="2160" w:hanging="180"/>
      </w:pPr>
    </w:lvl>
    <w:lvl w:ilvl="3" w:tplc="A33A8A0E" w:tentative="1">
      <w:start w:val="1"/>
      <w:numFmt w:val="decimal"/>
      <w:lvlText w:val="%4."/>
      <w:lvlJc w:val="left"/>
      <w:pPr>
        <w:ind w:left="2880" w:hanging="360"/>
      </w:pPr>
    </w:lvl>
    <w:lvl w:ilvl="4" w:tplc="BFB2BEC6" w:tentative="1">
      <w:start w:val="1"/>
      <w:numFmt w:val="lowerLetter"/>
      <w:lvlText w:val="%5."/>
      <w:lvlJc w:val="left"/>
      <w:pPr>
        <w:ind w:left="3600" w:hanging="360"/>
      </w:pPr>
    </w:lvl>
    <w:lvl w:ilvl="5" w:tplc="33E2D20E" w:tentative="1">
      <w:start w:val="1"/>
      <w:numFmt w:val="lowerRoman"/>
      <w:lvlText w:val="%6."/>
      <w:lvlJc w:val="right"/>
      <w:pPr>
        <w:ind w:left="4320" w:hanging="180"/>
      </w:pPr>
    </w:lvl>
    <w:lvl w:ilvl="6" w:tplc="EAEA9A84" w:tentative="1">
      <w:start w:val="1"/>
      <w:numFmt w:val="decimal"/>
      <w:lvlText w:val="%7."/>
      <w:lvlJc w:val="left"/>
      <w:pPr>
        <w:ind w:left="5040" w:hanging="360"/>
      </w:pPr>
    </w:lvl>
    <w:lvl w:ilvl="7" w:tplc="5172F5F6" w:tentative="1">
      <w:start w:val="1"/>
      <w:numFmt w:val="lowerLetter"/>
      <w:lvlText w:val="%8."/>
      <w:lvlJc w:val="left"/>
      <w:pPr>
        <w:ind w:left="5760" w:hanging="360"/>
      </w:pPr>
    </w:lvl>
    <w:lvl w:ilvl="8" w:tplc="98A4531A"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4D74EAA6">
      <w:start w:val="1"/>
      <w:numFmt w:val="bullet"/>
      <w:lvlText w:val=""/>
      <w:lvlJc w:val="left"/>
      <w:pPr>
        <w:ind w:left="720" w:hanging="360"/>
      </w:pPr>
      <w:rPr>
        <w:rFonts w:ascii="Symbol" w:hAnsi="Symbol" w:hint="default"/>
      </w:rPr>
    </w:lvl>
    <w:lvl w:ilvl="1" w:tplc="7FB4C576">
      <w:start w:val="1"/>
      <w:numFmt w:val="bullet"/>
      <w:lvlText w:val="o"/>
      <w:lvlJc w:val="left"/>
      <w:pPr>
        <w:ind w:left="1440" w:hanging="360"/>
      </w:pPr>
      <w:rPr>
        <w:rFonts w:ascii="Courier New" w:hAnsi="Courier New" w:cs="Courier New" w:hint="default"/>
      </w:rPr>
    </w:lvl>
    <w:lvl w:ilvl="2" w:tplc="C5E8DD46" w:tentative="1">
      <w:start w:val="1"/>
      <w:numFmt w:val="bullet"/>
      <w:lvlText w:val=""/>
      <w:lvlJc w:val="left"/>
      <w:pPr>
        <w:ind w:left="2160" w:hanging="360"/>
      </w:pPr>
      <w:rPr>
        <w:rFonts w:ascii="Wingdings" w:hAnsi="Wingdings" w:hint="default"/>
      </w:rPr>
    </w:lvl>
    <w:lvl w:ilvl="3" w:tplc="4A2268C6" w:tentative="1">
      <w:start w:val="1"/>
      <w:numFmt w:val="bullet"/>
      <w:lvlText w:val=""/>
      <w:lvlJc w:val="left"/>
      <w:pPr>
        <w:ind w:left="2880" w:hanging="360"/>
      </w:pPr>
      <w:rPr>
        <w:rFonts w:ascii="Symbol" w:hAnsi="Symbol" w:hint="default"/>
      </w:rPr>
    </w:lvl>
    <w:lvl w:ilvl="4" w:tplc="1626311E" w:tentative="1">
      <w:start w:val="1"/>
      <w:numFmt w:val="bullet"/>
      <w:lvlText w:val="o"/>
      <w:lvlJc w:val="left"/>
      <w:pPr>
        <w:ind w:left="3600" w:hanging="360"/>
      </w:pPr>
      <w:rPr>
        <w:rFonts w:ascii="Courier New" w:hAnsi="Courier New" w:cs="Courier New" w:hint="default"/>
      </w:rPr>
    </w:lvl>
    <w:lvl w:ilvl="5" w:tplc="CE76069A" w:tentative="1">
      <w:start w:val="1"/>
      <w:numFmt w:val="bullet"/>
      <w:lvlText w:val=""/>
      <w:lvlJc w:val="left"/>
      <w:pPr>
        <w:ind w:left="4320" w:hanging="360"/>
      </w:pPr>
      <w:rPr>
        <w:rFonts w:ascii="Wingdings" w:hAnsi="Wingdings" w:hint="default"/>
      </w:rPr>
    </w:lvl>
    <w:lvl w:ilvl="6" w:tplc="9C1ECF86" w:tentative="1">
      <w:start w:val="1"/>
      <w:numFmt w:val="bullet"/>
      <w:lvlText w:val=""/>
      <w:lvlJc w:val="left"/>
      <w:pPr>
        <w:ind w:left="5040" w:hanging="360"/>
      </w:pPr>
      <w:rPr>
        <w:rFonts w:ascii="Symbol" w:hAnsi="Symbol" w:hint="default"/>
      </w:rPr>
    </w:lvl>
    <w:lvl w:ilvl="7" w:tplc="BD8AF5C4" w:tentative="1">
      <w:start w:val="1"/>
      <w:numFmt w:val="bullet"/>
      <w:lvlText w:val="o"/>
      <w:lvlJc w:val="left"/>
      <w:pPr>
        <w:ind w:left="5760" w:hanging="360"/>
      </w:pPr>
      <w:rPr>
        <w:rFonts w:ascii="Courier New" w:hAnsi="Courier New" w:cs="Courier New" w:hint="default"/>
      </w:rPr>
    </w:lvl>
    <w:lvl w:ilvl="8" w:tplc="02BEB464"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B1C0AC6A">
      <w:start w:val="1"/>
      <w:numFmt w:val="decimal"/>
      <w:lvlText w:val="%1."/>
      <w:lvlJc w:val="left"/>
      <w:pPr>
        <w:ind w:left="720" w:hanging="360"/>
      </w:pPr>
      <w:rPr>
        <w:rFonts w:cs="Times New Roman"/>
      </w:rPr>
    </w:lvl>
    <w:lvl w:ilvl="1" w:tplc="E9D2B242" w:tentative="1">
      <w:start w:val="1"/>
      <w:numFmt w:val="lowerLetter"/>
      <w:lvlText w:val="%2."/>
      <w:lvlJc w:val="left"/>
      <w:pPr>
        <w:ind w:left="1440" w:hanging="360"/>
      </w:pPr>
      <w:rPr>
        <w:rFonts w:cs="Times New Roman"/>
      </w:rPr>
    </w:lvl>
    <w:lvl w:ilvl="2" w:tplc="01489E74" w:tentative="1">
      <w:start w:val="1"/>
      <w:numFmt w:val="lowerRoman"/>
      <w:lvlText w:val="%3."/>
      <w:lvlJc w:val="right"/>
      <w:pPr>
        <w:ind w:left="2160" w:hanging="180"/>
      </w:pPr>
      <w:rPr>
        <w:rFonts w:cs="Times New Roman"/>
      </w:rPr>
    </w:lvl>
    <w:lvl w:ilvl="3" w:tplc="5A365EB0" w:tentative="1">
      <w:start w:val="1"/>
      <w:numFmt w:val="decimal"/>
      <w:lvlText w:val="%4."/>
      <w:lvlJc w:val="left"/>
      <w:pPr>
        <w:ind w:left="2880" w:hanging="360"/>
      </w:pPr>
      <w:rPr>
        <w:rFonts w:cs="Times New Roman"/>
      </w:rPr>
    </w:lvl>
    <w:lvl w:ilvl="4" w:tplc="23F023B2" w:tentative="1">
      <w:start w:val="1"/>
      <w:numFmt w:val="lowerLetter"/>
      <w:lvlText w:val="%5."/>
      <w:lvlJc w:val="left"/>
      <w:pPr>
        <w:ind w:left="3600" w:hanging="360"/>
      </w:pPr>
      <w:rPr>
        <w:rFonts w:cs="Times New Roman"/>
      </w:rPr>
    </w:lvl>
    <w:lvl w:ilvl="5" w:tplc="C3F04FF0" w:tentative="1">
      <w:start w:val="1"/>
      <w:numFmt w:val="lowerRoman"/>
      <w:lvlText w:val="%6."/>
      <w:lvlJc w:val="right"/>
      <w:pPr>
        <w:ind w:left="4320" w:hanging="180"/>
      </w:pPr>
      <w:rPr>
        <w:rFonts w:cs="Times New Roman"/>
      </w:rPr>
    </w:lvl>
    <w:lvl w:ilvl="6" w:tplc="35B27A5E" w:tentative="1">
      <w:start w:val="1"/>
      <w:numFmt w:val="decimal"/>
      <w:lvlText w:val="%7."/>
      <w:lvlJc w:val="left"/>
      <w:pPr>
        <w:ind w:left="5040" w:hanging="360"/>
      </w:pPr>
      <w:rPr>
        <w:rFonts w:cs="Times New Roman"/>
      </w:rPr>
    </w:lvl>
    <w:lvl w:ilvl="7" w:tplc="E7CE63AC" w:tentative="1">
      <w:start w:val="1"/>
      <w:numFmt w:val="lowerLetter"/>
      <w:lvlText w:val="%8."/>
      <w:lvlJc w:val="left"/>
      <w:pPr>
        <w:ind w:left="5760" w:hanging="360"/>
      </w:pPr>
      <w:rPr>
        <w:rFonts w:cs="Times New Roman"/>
      </w:rPr>
    </w:lvl>
    <w:lvl w:ilvl="8" w:tplc="2CFE9046"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B45CBB3E">
      <w:start w:val="6"/>
      <w:numFmt w:val="decimal"/>
      <w:lvlText w:val="%1"/>
      <w:lvlJc w:val="left"/>
      <w:pPr>
        <w:ind w:left="720" w:hanging="360"/>
      </w:pPr>
      <w:rPr>
        <w:rFonts w:cs="Arial" w:hint="default"/>
      </w:rPr>
    </w:lvl>
    <w:lvl w:ilvl="1" w:tplc="DCEA83F4" w:tentative="1">
      <w:start w:val="1"/>
      <w:numFmt w:val="lowerLetter"/>
      <w:lvlText w:val="%2."/>
      <w:lvlJc w:val="left"/>
      <w:pPr>
        <w:ind w:left="1440" w:hanging="360"/>
      </w:pPr>
    </w:lvl>
    <w:lvl w:ilvl="2" w:tplc="C4FA1F90" w:tentative="1">
      <w:start w:val="1"/>
      <w:numFmt w:val="lowerRoman"/>
      <w:lvlText w:val="%3."/>
      <w:lvlJc w:val="right"/>
      <w:pPr>
        <w:ind w:left="2160" w:hanging="180"/>
      </w:pPr>
    </w:lvl>
    <w:lvl w:ilvl="3" w:tplc="52945FD8" w:tentative="1">
      <w:start w:val="1"/>
      <w:numFmt w:val="decimal"/>
      <w:lvlText w:val="%4."/>
      <w:lvlJc w:val="left"/>
      <w:pPr>
        <w:ind w:left="2880" w:hanging="360"/>
      </w:pPr>
    </w:lvl>
    <w:lvl w:ilvl="4" w:tplc="6470A49C" w:tentative="1">
      <w:start w:val="1"/>
      <w:numFmt w:val="lowerLetter"/>
      <w:lvlText w:val="%5."/>
      <w:lvlJc w:val="left"/>
      <w:pPr>
        <w:ind w:left="3600" w:hanging="360"/>
      </w:pPr>
    </w:lvl>
    <w:lvl w:ilvl="5" w:tplc="8728A42E" w:tentative="1">
      <w:start w:val="1"/>
      <w:numFmt w:val="lowerRoman"/>
      <w:lvlText w:val="%6."/>
      <w:lvlJc w:val="right"/>
      <w:pPr>
        <w:ind w:left="4320" w:hanging="180"/>
      </w:pPr>
    </w:lvl>
    <w:lvl w:ilvl="6" w:tplc="E4FE9D80" w:tentative="1">
      <w:start w:val="1"/>
      <w:numFmt w:val="decimal"/>
      <w:lvlText w:val="%7."/>
      <w:lvlJc w:val="left"/>
      <w:pPr>
        <w:ind w:left="5040" w:hanging="360"/>
      </w:pPr>
    </w:lvl>
    <w:lvl w:ilvl="7" w:tplc="B1885FA0" w:tentative="1">
      <w:start w:val="1"/>
      <w:numFmt w:val="lowerLetter"/>
      <w:lvlText w:val="%8."/>
      <w:lvlJc w:val="left"/>
      <w:pPr>
        <w:ind w:left="5760" w:hanging="360"/>
      </w:pPr>
    </w:lvl>
    <w:lvl w:ilvl="8" w:tplc="F1AAA630"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1CC87F0C">
      <w:start w:val="1"/>
      <w:numFmt w:val="decimal"/>
      <w:lvlText w:val="%1."/>
      <w:lvlJc w:val="left"/>
      <w:pPr>
        <w:ind w:left="502" w:hanging="360"/>
      </w:pPr>
      <w:rPr>
        <w:rFonts w:hint="default"/>
      </w:rPr>
    </w:lvl>
    <w:lvl w:ilvl="1" w:tplc="640A6FE8" w:tentative="1">
      <w:start w:val="1"/>
      <w:numFmt w:val="lowerLetter"/>
      <w:lvlText w:val="%2."/>
      <w:lvlJc w:val="left"/>
      <w:pPr>
        <w:ind w:left="1222" w:hanging="360"/>
      </w:pPr>
      <w:rPr>
        <w:rFonts w:cs="Times New Roman"/>
      </w:rPr>
    </w:lvl>
    <w:lvl w:ilvl="2" w:tplc="7ACA25AE" w:tentative="1">
      <w:start w:val="1"/>
      <w:numFmt w:val="lowerRoman"/>
      <w:lvlText w:val="%3."/>
      <w:lvlJc w:val="right"/>
      <w:pPr>
        <w:ind w:left="1942" w:hanging="180"/>
      </w:pPr>
      <w:rPr>
        <w:rFonts w:cs="Times New Roman"/>
      </w:rPr>
    </w:lvl>
    <w:lvl w:ilvl="3" w:tplc="D88AAC88" w:tentative="1">
      <w:start w:val="1"/>
      <w:numFmt w:val="decimal"/>
      <w:lvlText w:val="%4."/>
      <w:lvlJc w:val="left"/>
      <w:pPr>
        <w:ind w:left="2662" w:hanging="360"/>
      </w:pPr>
      <w:rPr>
        <w:rFonts w:cs="Times New Roman"/>
      </w:rPr>
    </w:lvl>
    <w:lvl w:ilvl="4" w:tplc="5AE6A10E" w:tentative="1">
      <w:start w:val="1"/>
      <w:numFmt w:val="lowerLetter"/>
      <w:lvlText w:val="%5."/>
      <w:lvlJc w:val="left"/>
      <w:pPr>
        <w:ind w:left="3382" w:hanging="360"/>
      </w:pPr>
      <w:rPr>
        <w:rFonts w:cs="Times New Roman"/>
      </w:rPr>
    </w:lvl>
    <w:lvl w:ilvl="5" w:tplc="3EFCC0BE" w:tentative="1">
      <w:start w:val="1"/>
      <w:numFmt w:val="lowerRoman"/>
      <w:lvlText w:val="%6."/>
      <w:lvlJc w:val="right"/>
      <w:pPr>
        <w:ind w:left="4102" w:hanging="180"/>
      </w:pPr>
      <w:rPr>
        <w:rFonts w:cs="Times New Roman"/>
      </w:rPr>
    </w:lvl>
    <w:lvl w:ilvl="6" w:tplc="EBA6F754" w:tentative="1">
      <w:start w:val="1"/>
      <w:numFmt w:val="decimal"/>
      <w:lvlText w:val="%7."/>
      <w:lvlJc w:val="left"/>
      <w:pPr>
        <w:ind w:left="4822" w:hanging="360"/>
      </w:pPr>
      <w:rPr>
        <w:rFonts w:cs="Times New Roman"/>
      </w:rPr>
    </w:lvl>
    <w:lvl w:ilvl="7" w:tplc="D83AB550" w:tentative="1">
      <w:start w:val="1"/>
      <w:numFmt w:val="lowerLetter"/>
      <w:lvlText w:val="%8."/>
      <w:lvlJc w:val="left"/>
      <w:pPr>
        <w:ind w:left="5542" w:hanging="360"/>
      </w:pPr>
      <w:rPr>
        <w:rFonts w:cs="Times New Roman"/>
      </w:rPr>
    </w:lvl>
    <w:lvl w:ilvl="8" w:tplc="5C2A0FD2"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4E2415"/>
    <w:multiLevelType w:val="hybridMultilevel"/>
    <w:tmpl w:val="8CB0DAFC"/>
    <w:lvl w:ilvl="0" w:tplc="0C6E39D4">
      <w:start w:val="7"/>
      <w:numFmt w:val="decimal"/>
      <w:lvlText w:val="%1"/>
      <w:lvlJc w:val="left"/>
      <w:pPr>
        <w:ind w:left="1080" w:hanging="360"/>
      </w:pPr>
      <w:rPr>
        <w:rFonts w:hint="default"/>
      </w:rPr>
    </w:lvl>
    <w:lvl w:ilvl="1" w:tplc="0D18CA98" w:tentative="1">
      <w:start w:val="1"/>
      <w:numFmt w:val="lowerLetter"/>
      <w:lvlText w:val="%2."/>
      <w:lvlJc w:val="left"/>
      <w:pPr>
        <w:ind w:left="1800" w:hanging="360"/>
      </w:pPr>
    </w:lvl>
    <w:lvl w:ilvl="2" w:tplc="D57EC564" w:tentative="1">
      <w:start w:val="1"/>
      <w:numFmt w:val="lowerRoman"/>
      <w:lvlText w:val="%3."/>
      <w:lvlJc w:val="right"/>
      <w:pPr>
        <w:ind w:left="2520" w:hanging="180"/>
      </w:pPr>
    </w:lvl>
    <w:lvl w:ilvl="3" w:tplc="48A2F8D0" w:tentative="1">
      <w:start w:val="1"/>
      <w:numFmt w:val="decimal"/>
      <w:lvlText w:val="%4."/>
      <w:lvlJc w:val="left"/>
      <w:pPr>
        <w:ind w:left="3240" w:hanging="360"/>
      </w:pPr>
    </w:lvl>
    <w:lvl w:ilvl="4" w:tplc="ED34A474" w:tentative="1">
      <w:start w:val="1"/>
      <w:numFmt w:val="lowerLetter"/>
      <w:lvlText w:val="%5."/>
      <w:lvlJc w:val="left"/>
      <w:pPr>
        <w:ind w:left="3960" w:hanging="360"/>
      </w:pPr>
    </w:lvl>
    <w:lvl w:ilvl="5" w:tplc="9F96E316" w:tentative="1">
      <w:start w:val="1"/>
      <w:numFmt w:val="lowerRoman"/>
      <w:lvlText w:val="%6."/>
      <w:lvlJc w:val="right"/>
      <w:pPr>
        <w:ind w:left="4680" w:hanging="180"/>
      </w:pPr>
    </w:lvl>
    <w:lvl w:ilvl="6" w:tplc="59BE5B28" w:tentative="1">
      <w:start w:val="1"/>
      <w:numFmt w:val="decimal"/>
      <w:lvlText w:val="%7."/>
      <w:lvlJc w:val="left"/>
      <w:pPr>
        <w:ind w:left="5400" w:hanging="360"/>
      </w:pPr>
    </w:lvl>
    <w:lvl w:ilvl="7" w:tplc="862A57E4" w:tentative="1">
      <w:start w:val="1"/>
      <w:numFmt w:val="lowerLetter"/>
      <w:lvlText w:val="%8."/>
      <w:lvlJc w:val="left"/>
      <w:pPr>
        <w:ind w:left="6120" w:hanging="360"/>
      </w:pPr>
    </w:lvl>
    <w:lvl w:ilvl="8" w:tplc="35765460" w:tentative="1">
      <w:start w:val="1"/>
      <w:numFmt w:val="lowerRoman"/>
      <w:lvlText w:val="%9."/>
      <w:lvlJc w:val="right"/>
      <w:pPr>
        <w:ind w:left="6840" w:hanging="180"/>
      </w:pPr>
    </w:lvl>
  </w:abstractNum>
  <w:abstractNum w:abstractNumId="16" w15:restartNumberingAfterBreak="0">
    <w:nsid w:val="53175FE3"/>
    <w:multiLevelType w:val="hybridMultilevel"/>
    <w:tmpl w:val="C31ECC9C"/>
    <w:lvl w:ilvl="0" w:tplc="1108BD6C">
      <w:start w:val="1"/>
      <w:numFmt w:val="decimal"/>
      <w:lvlText w:val="%1."/>
      <w:lvlJc w:val="left"/>
      <w:pPr>
        <w:ind w:left="786" w:hanging="360"/>
      </w:pPr>
      <w:rPr>
        <w:rFonts w:cs="Times New Roman" w:hint="default"/>
        <w:b w:val="0"/>
        <w:sz w:val="20"/>
        <w:szCs w:val="20"/>
      </w:rPr>
    </w:lvl>
    <w:lvl w:ilvl="1" w:tplc="5232A002" w:tentative="1">
      <w:start w:val="1"/>
      <w:numFmt w:val="lowerLetter"/>
      <w:lvlText w:val="%2."/>
      <w:lvlJc w:val="left"/>
      <w:pPr>
        <w:ind w:left="1364" w:hanging="360"/>
      </w:pPr>
      <w:rPr>
        <w:rFonts w:cs="Times New Roman"/>
      </w:rPr>
    </w:lvl>
    <w:lvl w:ilvl="2" w:tplc="14A2D284" w:tentative="1">
      <w:start w:val="1"/>
      <w:numFmt w:val="lowerRoman"/>
      <w:lvlText w:val="%3."/>
      <w:lvlJc w:val="right"/>
      <w:pPr>
        <w:ind w:left="2084" w:hanging="180"/>
      </w:pPr>
      <w:rPr>
        <w:rFonts w:cs="Times New Roman"/>
      </w:rPr>
    </w:lvl>
    <w:lvl w:ilvl="3" w:tplc="96387D7A" w:tentative="1">
      <w:start w:val="1"/>
      <w:numFmt w:val="decimal"/>
      <w:lvlText w:val="%4."/>
      <w:lvlJc w:val="left"/>
      <w:pPr>
        <w:ind w:left="2804" w:hanging="360"/>
      </w:pPr>
      <w:rPr>
        <w:rFonts w:cs="Times New Roman"/>
      </w:rPr>
    </w:lvl>
    <w:lvl w:ilvl="4" w:tplc="2B140F64" w:tentative="1">
      <w:start w:val="1"/>
      <w:numFmt w:val="lowerLetter"/>
      <w:lvlText w:val="%5."/>
      <w:lvlJc w:val="left"/>
      <w:pPr>
        <w:ind w:left="3524" w:hanging="360"/>
      </w:pPr>
      <w:rPr>
        <w:rFonts w:cs="Times New Roman"/>
      </w:rPr>
    </w:lvl>
    <w:lvl w:ilvl="5" w:tplc="F54061D8" w:tentative="1">
      <w:start w:val="1"/>
      <w:numFmt w:val="lowerRoman"/>
      <w:lvlText w:val="%6."/>
      <w:lvlJc w:val="right"/>
      <w:pPr>
        <w:ind w:left="4244" w:hanging="180"/>
      </w:pPr>
      <w:rPr>
        <w:rFonts w:cs="Times New Roman"/>
      </w:rPr>
    </w:lvl>
    <w:lvl w:ilvl="6" w:tplc="F23A4912" w:tentative="1">
      <w:start w:val="1"/>
      <w:numFmt w:val="decimal"/>
      <w:lvlText w:val="%7."/>
      <w:lvlJc w:val="left"/>
      <w:pPr>
        <w:ind w:left="4964" w:hanging="360"/>
      </w:pPr>
      <w:rPr>
        <w:rFonts w:cs="Times New Roman"/>
      </w:rPr>
    </w:lvl>
    <w:lvl w:ilvl="7" w:tplc="94667DE8" w:tentative="1">
      <w:start w:val="1"/>
      <w:numFmt w:val="lowerLetter"/>
      <w:lvlText w:val="%8."/>
      <w:lvlJc w:val="left"/>
      <w:pPr>
        <w:ind w:left="5684" w:hanging="360"/>
      </w:pPr>
      <w:rPr>
        <w:rFonts w:cs="Times New Roman"/>
      </w:rPr>
    </w:lvl>
    <w:lvl w:ilvl="8" w:tplc="9398979A" w:tentative="1">
      <w:start w:val="1"/>
      <w:numFmt w:val="lowerRoman"/>
      <w:lvlText w:val="%9."/>
      <w:lvlJc w:val="right"/>
      <w:pPr>
        <w:ind w:left="6404" w:hanging="180"/>
      </w:pPr>
      <w:rPr>
        <w:rFonts w:cs="Times New Roman"/>
      </w:rPr>
    </w:lvl>
  </w:abstractNum>
  <w:abstractNum w:abstractNumId="17" w15:restartNumberingAfterBreak="0">
    <w:nsid w:val="55CC2815"/>
    <w:multiLevelType w:val="hybridMultilevel"/>
    <w:tmpl w:val="299839BA"/>
    <w:lvl w:ilvl="0" w:tplc="BCB4ED02">
      <w:start w:val="12"/>
      <w:numFmt w:val="decimal"/>
      <w:lvlText w:val="%1"/>
      <w:lvlJc w:val="left"/>
      <w:pPr>
        <w:ind w:left="720" w:hanging="360"/>
      </w:pPr>
      <w:rPr>
        <w:rFonts w:cs="Times New Roman" w:hint="default"/>
        <w:color w:val="auto"/>
      </w:rPr>
    </w:lvl>
    <w:lvl w:ilvl="1" w:tplc="1406B284" w:tentative="1">
      <w:start w:val="1"/>
      <w:numFmt w:val="lowerLetter"/>
      <w:lvlText w:val="%2."/>
      <w:lvlJc w:val="left"/>
      <w:pPr>
        <w:ind w:left="1440" w:hanging="360"/>
      </w:pPr>
      <w:rPr>
        <w:rFonts w:cs="Times New Roman"/>
      </w:rPr>
    </w:lvl>
    <w:lvl w:ilvl="2" w:tplc="0DB8CE96" w:tentative="1">
      <w:start w:val="1"/>
      <w:numFmt w:val="lowerRoman"/>
      <w:lvlText w:val="%3."/>
      <w:lvlJc w:val="right"/>
      <w:pPr>
        <w:ind w:left="2160" w:hanging="180"/>
      </w:pPr>
      <w:rPr>
        <w:rFonts w:cs="Times New Roman"/>
      </w:rPr>
    </w:lvl>
    <w:lvl w:ilvl="3" w:tplc="0428AA7C" w:tentative="1">
      <w:start w:val="1"/>
      <w:numFmt w:val="decimal"/>
      <w:lvlText w:val="%4."/>
      <w:lvlJc w:val="left"/>
      <w:pPr>
        <w:ind w:left="2880" w:hanging="360"/>
      </w:pPr>
      <w:rPr>
        <w:rFonts w:cs="Times New Roman"/>
      </w:rPr>
    </w:lvl>
    <w:lvl w:ilvl="4" w:tplc="ECFE6D74" w:tentative="1">
      <w:start w:val="1"/>
      <w:numFmt w:val="lowerLetter"/>
      <w:lvlText w:val="%5."/>
      <w:lvlJc w:val="left"/>
      <w:pPr>
        <w:ind w:left="3600" w:hanging="360"/>
      </w:pPr>
      <w:rPr>
        <w:rFonts w:cs="Times New Roman"/>
      </w:rPr>
    </w:lvl>
    <w:lvl w:ilvl="5" w:tplc="9D485B02" w:tentative="1">
      <w:start w:val="1"/>
      <w:numFmt w:val="lowerRoman"/>
      <w:lvlText w:val="%6."/>
      <w:lvlJc w:val="right"/>
      <w:pPr>
        <w:ind w:left="4320" w:hanging="180"/>
      </w:pPr>
      <w:rPr>
        <w:rFonts w:cs="Times New Roman"/>
      </w:rPr>
    </w:lvl>
    <w:lvl w:ilvl="6" w:tplc="B7000476" w:tentative="1">
      <w:start w:val="1"/>
      <w:numFmt w:val="decimal"/>
      <w:lvlText w:val="%7."/>
      <w:lvlJc w:val="left"/>
      <w:pPr>
        <w:ind w:left="5040" w:hanging="360"/>
      </w:pPr>
      <w:rPr>
        <w:rFonts w:cs="Times New Roman"/>
      </w:rPr>
    </w:lvl>
    <w:lvl w:ilvl="7" w:tplc="8ED03D36" w:tentative="1">
      <w:start w:val="1"/>
      <w:numFmt w:val="lowerLetter"/>
      <w:lvlText w:val="%8."/>
      <w:lvlJc w:val="left"/>
      <w:pPr>
        <w:ind w:left="5760" w:hanging="360"/>
      </w:pPr>
      <w:rPr>
        <w:rFonts w:cs="Times New Roman"/>
      </w:rPr>
    </w:lvl>
    <w:lvl w:ilvl="8" w:tplc="9C34E0B4" w:tentative="1">
      <w:start w:val="1"/>
      <w:numFmt w:val="lowerRoman"/>
      <w:lvlText w:val="%9."/>
      <w:lvlJc w:val="right"/>
      <w:pPr>
        <w:ind w:left="6480" w:hanging="180"/>
      </w:pPr>
      <w:rPr>
        <w:rFonts w:cs="Times New Roman"/>
      </w:rPr>
    </w:lvl>
  </w:abstractNum>
  <w:abstractNum w:abstractNumId="18" w15:restartNumberingAfterBreak="0">
    <w:nsid w:val="62E962C0"/>
    <w:multiLevelType w:val="hybridMultilevel"/>
    <w:tmpl w:val="0524B47E"/>
    <w:lvl w:ilvl="0" w:tplc="301CF37C">
      <w:start w:val="1"/>
      <w:numFmt w:val="decimal"/>
      <w:lvlText w:val="%1."/>
      <w:lvlJc w:val="left"/>
      <w:pPr>
        <w:ind w:left="720" w:hanging="360"/>
      </w:pPr>
      <w:rPr>
        <w:rFonts w:cs="Times New Roman" w:hint="default"/>
      </w:rPr>
    </w:lvl>
    <w:lvl w:ilvl="1" w:tplc="71428D3A" w:tentative="1">
      <w:start w:val="1"/>
      <w:numFmt w:val="lowerLetter"/>
      <w:lvlText w:val="%2."/>
      <w:lvlJc w:val="left"/>
      <w:pPr>
        <w:ind w:left="1440" w:hanging="360"/>
      </w:pPr>
      <w:rPr>
        <w:rFonts w:cs="Times New Roman"/>
      </w:rPr>
    </w:lvl>
    <w:lvl w:ilvl="2" w:tplc="7A32623E" w:tentative="1">
      <w:start w:val="1"/>
      <w:numFmt w:val="lowerRoman"/>
      <w:lvlText w:val="%3."/>
      <w:lvlJc w:val="right"/>
      <w:pPr>
        <w:ind w:left="2160" w:hanging="180"/>
      </w:pPr>
      <w:rPr>
        <w:rFonts w:cs="Times New Roman"/>
      </w:rPr>
    </w:lvl>
    <w:lvl w:ilvl="3" w:tplc="42E22652" w:tentative="1">
      <w:start w:val="1"/>
      <w:numFmt w:val="decimal"/>
      <w:lvlText w:val="%4."/>
      <w:lvlJc w:val="left"/>
      <w:pPr>
        <w:ind w:left="2880" w:hanging="360"/>
      </w:pPr>
      <w:rPr>
        <w:rFonts w:cs="Times New Roman"/>
      </w:rPr>
    </w:lvl>
    <w:lvl w:ilvl="4" w:tplc="6BEA890E" w:tentative="1">
      <w:start w:val="1"/>
      <w:numFmt w:val="lowerLetter"/>
      <w:lvlText w:val="%5."/>
      <w:lvlJc w:val="left"/>
      <w:pPr>
        <w:ind w:left="3600" w:hanging="360"/>
      </w:pPr>
      <w:rPr>
        <w:rFonts w:cs="Times New Roman"/>
      </w:rPr>
    </w:lvl>
    <w:lvl w:ilvl="5" w:tplc="882CAAEC" w:tentative="1">
      <w:start w:val="1"/>
      <w:numFmt w:val="lowerRoman"/>
      <w:lvlText w:val="%6."/>
      <w:lvlJc w:val="right"/>
      <w:pPr>
        <w:ind w:left="4320" w:hanging="180"/>
      </w:pPr>
      <w:rPr>
        <w:rFonts w:cs="Times New Roman"/>
      </w:rPr>
    </w:lvl>
    <w:lvl w:ilvl="6" w:tplc="8E12D216" w:tentative="1">
      <w:start w:val="1"/>
      <w:numFmt w:val="decimal"/>
      <w:lvlText w:val="%7."/>
      <w:lvlJc w:val="left"/>
      <w:pPr>
        <w:ind w:left="5040" w:hanging="360"/>
      </w:pPr>
      <w:rPr>
        <w:rFonts w:cs="Times New Roman"/>
      </w:rPr>
    </w:lvl>
    <w:lvl w:ilvl="7" w:tplc="4A646DDC" w:tentative="1">
      <w:start w:val="1"/>
      <w:numFmt w:val="lowerLetter"/>
      <w:lvlText w:val="%8."/>
      <w:lvlJc w:val="left"/>
      <w:pPr>
        <w:ind w:left="5760" w:hanging="360"/>
      </w:pPr>
      <w:rPr>
        <w:rFonts w:cs="Times New Roman"/>
      </w:rPr>
    </w:lvl>
    <w:lvl w:ilvl="8" w:tplc="F01E68F2" w:tentative="1">
      <w:start w:val="1"/>
      <w:numFmt w:val="lowerRoman"/>
      <w:lvlText w:val="%9."/>
      <w:lvlJc w:val="right"/>
      <w:pPr>
        <w:ind w:left="6480" w:hanging="180"/>
      </w:pPr>
      <w:rPr>
        <w:rFonts w:cs="Times New Roman"/>
      </w:rPr>
    </w:lvl>
  </w:abstractNum>
  <w:abstractNum w:abstractNumId="19" w15:restartNumberingAfterBreak="0">
    <w:nsid w:val="69187EAD"/>
    <w:multiLevelType w:val="hybridMultilevel"/>
    <w:tmpl w:val="2CB2FC14"/>
    <w:lvl w:ilvl="0" w:tplc="A4D2B128">
      <w:start w:val="1"/>
      <w:numFmt w:val="decimal"/>
      <w:lvlText w:val="%1."/>
      <w:lvlJc w:val="left"/>
      <w:pPr>
        <w:ind w:left="360" w:hanging="360"/>
      </w:pPr>
      <w:rPr>
        <w:rFonts w:cs="Times New Roman" w:hint="default"/>
      </w:rPr>
    </w:lvl>
    <w:lvl w:ilvl="1" w:tplc="F8CC680A" w:tentative="1">
      <w:start w:val="1"/>
      <w:numFmt w:val="lowerLetter"/>
      <w:lvlText w:val="%2."/>
      <w:lvlJc w:val="left"/>
      <w:pPr>
        <w:ind w:left="1440" w:hanging="360"/>
      </w:pPr>
      <w:rPr>
        <w:rFonts w:cs="Times New Roman"/>
      </w:rPr>
    </w:lvl>
    <w:lvl w:ilvl="2" w:tplc="A9E66FDE" w:tentative="1">
      <w:start w:val="1"/>
      <w:numFmt w:val="lowerRoman"/>
      <w:lvlText w:val="%3."/>
      <w:lvlJc w:val="right"/>
      <w:pPr>
        <w:ind w:left="2160" w:hanging="180"/>
      </w:pPr>
      <w:rPr>
        <w:rFonts w:cs="Times New Roman"/>
      </w:rPr>
    </w:lvl>
    <w:lvl w:ilvl="3" w:tplc="04905D74" w:tentative="1">
      <w:start w:val="1"/>
      <w:numFmt w:val="decimal"/>
      <w:lvlText w:val="%4."/>
      <w:lvlJc w:val="left"/>
      <w:pPr>
        <w:ind w:left="2880" w:hanging="360"/>
      </w:pPr>
      <w:rPr>
        <w:rFonts w:cs="Times New Roman"/>
      </w:rPr>
    </w:lvl>
    <w:lvl w:ilvl="4" w:tplc="C7605BB8" w:tentative="1">
      <w:start w:val="1"/>
      <w:numFmt w:val="lowerLetter"/>
      <w:lvlText w:val="%5."/>
      <w:lvlJc w:val="left"/>
      <w:pPr>
        <w:ind w:left="3600" w:hanging="360"/>
      </w:pPr>
      <w:rPr>
        <w:rFonts w:cs="Times New Roman"/>
      </w:rPr>
    </w:lvl>
    <w:lvl w:ilvl="5" w:tplc="1706B988" w:tentative="1">
      <w:start w:val="1"/>
      <w:numFmt w:val="lowerRoman"/>
      <w:lvlText w:val="%6."/>
      <w:lvlJc w:val="right"/>
      <w:pPr>
        <w:ind w:left="4320" w:hanging="180"/>
      </w:pPr>
      <w:rPr>
        <w:rFonts w:cs="Times New Roman"/>
      </w:rPr>
    </w:lvl>
    <w:lvl w:ilvl="6" w:tplc="1DEC708A" w:tentative="1">
      <w:start w:val="1"/>
      <w:numFmt w:val="decimal"/>
      <w:lvlText w:val="%7."/>
      <w:lvlJc w:val="left"/>
      <w:pPr>
        <w:ind w:left="5040" w:hanging="360"/>
      </w:pPr>
      <w:rPr>
        <w:rFonts w:cs="Times New Roman"/>
      </w:rPr>
    </w:lvl>
    <w:lvl w:ilvl="7" w:tplc="BB2E509C" w:tentative="1">
      <w:start w:val="1"/>
      <w:numFmt w:val="lowerLetter"/>
      <w:lvlText w:val="%8."/>
      <w:lvlJc w:val="left"/>
      <w:pPr>
        <w:ind w:left="5760" w:hanging="360"/>
      </w:pPr>
      <w:rPr>
        <w:rFonts w:cs="Times New Roman"/>
      </w:rPr>
    </w:lvl>
    <w:lvl w:ilvl="8" w:tplc="F7FAB9BC" w:tentative="1">
      <w:start w:val="1"/>
      <w:numFmt w:val="lowerRoman"/>
      <w:lvlText w:val="%9."/>
      <w:lvlJc w:val="right"/>
      <w:pPr>
        <w:ind w:left="6480" w:hanging="180"/>
      </w:pPr>
      <w:rPr>
        <w:rFonts w:cs="Times New Roman"/>
      </w:rPr>
    </w:lvl>
  </w:abstractNum>
  <w:abstractNum w:abstractNumId="20" w15:restartNumberingAfterBreak="0">
    <w:nsid w:val="69D54FB6"/>
    <w:multiLevelType w:val="hybridMultilevel"/>
    <w:tmpl w:val="3E549AE0"/>
    <w:lvl w:ilvl="0" w:tplc="1C30DBB2">
      <w:start w:val="2"/>
      <w:numFmt w:val="bullet"/>
      <w:lvlText w:val="-"/>
      <w:lvlJc w:val="left"/>
      <w:pPr>
        <w:ind w:left="810" w:hanging="360"/>
      </w:pPr>
      <w:rPr>
        <w:rFonts w:ascii="Arial" w:eastAsia="Times New Roman" w:hAnsi="Arial" w:hint="default"/>
      </w:rPr>
    </w:lvl>
    <w:lvl w:ilvl="1" w:tplc="F3B624CA" w:tentative="1">
      <w:start w:val="1"/>
      <w:numFmt w:val="bullet"/>
      <w:lvlText w:val="o"/>
      <w:lvlJc w:val="left"/>
      <w:pPr>
        <w:ind w:left="1530" w:hanging="360"/>
      </w:pPr>
      <w:rPr>
        <w:rFonts w:ascii="Courier New" w:hAnsi="Courier New" w:hint="default"/>
      </w:rPr>
    </w:lvl>
    <w:lvl w:ilvl="2" w:tplc="D772DC8E" w:tentative="1">
      <w:start w:val="1"/>
      <w:numFmt w:val="bullet"/>
      <w:lvlText w:val=""/>
      <w:lvlJc w:val="left"/>
      <w:pPr>
        <w:ind w:left="2250" w:hanging="360"/>
      </w:pPr>
      <w:rPr>
        <w:rFonts w:ascii="Wingdings" w:hAnsi="Wingdings" w:hint="default"/>
      </w:rPr>
    </w:lvl>
    <w:lvl w:ilvl="3" w:tplc="F4E45500" w:tentative="1">
      <w:start w:val="1"/>
      <w:numFmt w:val="bullet"/>
      <w:lvlText w:val=""/>
      <w:lvlJc w:val="left"/>
      <w:pPr>
        <w:ind w:left="2970" w:hanging="360"/>
      </w:pPr>
      <w:rPr>
        <w:rFonts w:ascii="Symbol" w:hAnsi="Symbol" w:hint="default"/>
      </w:rPr>
    </w:lvl>
    <w:lvl w:ilvl="4" w:tplc="3F8EABA4" w:tentative="1">
      <w:start w:val="1"/>
      <w:numFmt w:val="bullet"/>
      <w:lvlText w:val="o"/>
      <w:lvlJc w:val="left"/>
      <w:pPr>
        <w:ind w:left="3690" w:hanging="360"/>
      </w:pPr>
      <w:rPr>
        <w:rFonts w:ascii="Courier New" w:hAnsi="Courier New" w:hint="default"/>
      </w:rPr>
    </w:lvl>
    <w:lvl w:ilvl="5" w:tplc="4680F372" w:tentative="1">
      <w:start w:val="1"/>
      <w:numFmt w:val="bullet"/>
      <w:lvlText w:val=""/>
      <w:lvlJc w:val="left"/>
      <w:pPr>
        <w:ind w:left="4410" w:hanging="360"/>
      </w:pPr>
      <w:rPr>
        <w:rFonts w:ascii="Wingdings" w:hAnsi="Wingdings" w:hint="default"/>
      </w:rPr>
    </w:lvl>
    <w:lvl w:ilvl="6" w:tplc="10CE1018" w:tentative="1">
      <w:start w:val="1"/>
      <w:numFmt w:val="bullet"/>
      <w:lvlText w:val=""/>
      <w:lvlJc w:val="left"/>
      <w:pPr>
        <w:ind w:left="5130" w:hanging="360"/>
      </w:pPr>
      <w:rPr>
        <w:rFonts w:ascii="Symbol" w:hAnsi="Symbol" w:hint="default"/>
      </w:rPr>
    </w:lvl>
    <w:lvl w:ilvl="7" w:tplc="E602663C" w:tentative="1">
      <w:start w:val="1"/>
      <w:numFmt w:val="bullet"/>
      <w:lvlText w:val="o"/>
      <w:lvlJc w:val="left"/>
      <w:pPr>
        <w:ind w:left="5850" w:hanging="360"/>
      </w:pPr>
      <w:rPr>
        <w:rFonts w:ascii="Courier New" w:hAnsi="Courier New" w:hint="default"/>
      </w:rPr>
    </w:lvl>
    <w:lvl w:ilvl="8" w:tplc="6BE00D20" w:tentative="1">
      <w:start w:val="1"/>
      <w:numFmt w:val="bullet"/>
      <w:lvlText w:val=""/>
      <w:lvlJc w:val="left"/>
      <w:pPr>
        <w:ind w:left="6570" w:hanging="360"/>
      </w:pPr>
      <w:rPr>
        <w:rFonts w:ascii="Wingdings" w:hAnsi="Wingdings" w:hint="default"/>
      </w:rPr>
    </w:lvl>
  </w:abstractNum>
  <w:abstractNum w:abstractNumId="21" w15:restartNumberingAfterBreak="0">
    <w:nsid w:val="6A4B1F2B"/>
    <w:multiLevelType w:val="hybridMultilevel"/>
    <w:tmpl w:val="42B4836C"/>
    <w:lvl w:ilvl="0" w:tplc="01D463F8">
      <w:start w:val="1"/>
      <w:numFmt w:val="decimal"/>
      <w:lvlText w:val="%1."/>
      <w:lvlJc w:val="left"/>
      <w:pPr>
        <w:ind w:left="786" w:hanging="360"/>
      </w:pPr>
      <w:rPr>
        <w:rFonts w:cs="Times New Roman" w:hint="default"/>
      </w:rPr>
    </w:lvl>
    <w:lvl w:ilvl="1" w:tplc="763201EE" w:tentative="1">
      <w:start w:val="1"/>
      <w:numFmt w:val="lowerLetter"/>
      <w:lvlText w:val="%2."/>
      <w:lvlJc w:val="left"/>
      <w:pPr>
        <w:ind w:left="1440" w:hanging="360"/>
      </w:pPr>
      <w:rPr>
        <w:rFonts w:cs="Times New Roman"/>
      </w:rPr>
    </w:lvl>
    <w:lvl w:ilvl="2" w:tplc="5BF8CC68" w:tentative="1">
      <w:start w:val="1"/>
      <w:numFmt w:val="lowerRoman"/>
      <w:lvlText w:val="%3."/>
      <w:lvlJc w:val="right"/>
      <w:pPr>
        <w:ind w:left="2160" w:hanging="180"/>
      </w:pPr>
      <w:rPr>
        <w:rFonts w:cs="Times New Roman"/>
      </w:rPr>
    </w:lvl>
    <w:lvl w:ilvl="3" w:tplc="4CEECBEC" w:tentative="1">
      <w:start w:val="1"/>
      <w:numFmt w:val="decimal"/>
      <w:lvlText w:val="%4."/>
      <w:lvlJc w:val="left"/>
      <w:pPr>
        <w:ind w:left="2880" w:hanging="360"/>
      </w:pPr>
      <w:rPr>
        <w:rFonts w:cs="Times New Roman"/>
      </w:rPr>
    </w:lvl>
    <w:lvl w:ilvl="4" w:tplc="B21213E8" w:tentative="1">
      <w:start w:val="1"/>
      <w:numFmt w:val="lowerLetter"/>
      <w:lvlText w:val="%5."/>
      <w:lvlJc w:val="left"/>
      <w:pPr>
        <w:ind w:left="3600" w:hanging="360"/>
      </w:pPr>
      <w:rPr>
        <w:rFonts w:cs="Times New Roman"/>
      </w:rPr>
    </w:lvl>
    <w:lvl w:ilvl="5" w:tplc="207211EE" w:tentative="1">
      <w:start w:val="1"/>
      <w:numFmt w:val="lowerRoman"/>
      <w:lvlText w:val="%6."/>
      <w:lvlJc w:val="right"/>
      <w:pPr>
        <w:ind w:left="4320" w:hanging="180"/>
      </w:pPr>
      <w:rPr>
        <w:rFonts w:cs="Times New Roman"/>
      </w:rPr>
    </w:lvl>
    <w:lvl w:ilvl="6" w:tplc="21DA1CA0" w:tentative="1">
      <w:start w:val="1"/>
      <w:numFmt w:val="decimal"/>
      <w:lvlText w:val="%7."/>
      <w:lvlJc w:val="left"/>
      <w:pPr>
        <w:ind w:left="5040" w:hanging="360"/>
      </w:pPr>
      <w:rPr>
        <w:rFonts w:cs="Times New Roman"/>
      </w:rPr>
    </w:lvl>
    <w:lvl w:ilvl="7" w:tplc="734E0BA6" w:tentative="1">
      <w:start w:val="1"/>
      <w:numFmt w:val="lowerLetter"/>
      <w:lvlText w:val="%8."/>
      <w:lvlJc w:val="left"/>
      <w:pPr>
        <w:ind w:left="5760" w:hanging="360"/>
      </w:pPr>
      <w:rPr>
        <w:rFonts w:cs="Times New Roman"/>
      </w:rPr>
    </w:lvl>
    <w:lvl w:ilvl="8" w:tplc="212CED44" w:tentative="1">
      <w:start w:val="1"/>
      <w:numFmt w:val="lowerRoman"/>
      <w:lvlText w:val="%9."/>
      <w:lvlJc w:val="right"/>
      <w:pPr>
        <w:ind w:left="6480" w:hanging="180"/>
      </w:pPr>
      <w:rPr>
        <w:rFonts w:cs="Times New Roman"/>
      </w:rPr>
    </w:lvl>
  </w:abstractNum>
  <w:abstractNum w:abstractNumId="22" w15:restartNumberingAfterBreak="0">
    <w:nsid w:val="6BEE6257"/>
    <w:multiLevelType w:val="hybridMultilevel"/>
    <w:tmpl w:val="FF840AF2"/>
    <w:lvl w:ilvl="0" w:tplc="0A165086">
      <w:start w:val="1"/>
      <w:numFmt w:val="bullet"/>
      <w:lvlText w:val=""/>
      <w:lvlJc w:val="left"/>
      <w:pPr>
        <w:ind w:left="720" w:hanging="360"/>
      </w:pPr>
      <w:rPr>
        <w:rFonts w:ascii="Symbol" w:hAnsi="Symbol" w:hint="default"/>
      </w:rPr>
    </w:lvl>
    <w:lvl w:ilvl="1" w:tplc="AC8C195E" w:tentative="1">
      <w:start w:val="1"/>
      <w:numFmt w:val="bullet"/>
      <w:lvlText w:val="o"/>
      <w:lvlJc w:val="left"/>
      <w:pPr>
        <w:ind w:left="1440" w:hanging="360"/>
      </w:pPr>
      <w:rPr>
        <w:rFonts w:ascii="Courier New" w:hAnsi="Courier New" w:cs="Courier New" w:hint="default"/>
      </w:rPr>
    </w:lvl>
    <w:lvl w:ilvl="2" w:tplc="807CA162" w:tentative="1">
      <w:start w:val="1"/>
      <w:numFmt w:val="bullet"/>
      <w:lvlText w:val=""/>
      <w:lvlJc w:val="left"/>
      <w:pPr>
        <w:ind w:left="2160" w:hanging="360"/>
      </w:pPr>
      <w:rPr>
        <w:rFonts w:ascii="Wingdings" w:hAnsi="Wingdings" w:hint="default"/>
      </w:rPr>
    </w:lvl>
    <w:lvl w:ilvl="3" w:tplc="CD9C866A" w:tentative="1">
      <w:start w:val="1"/>
      <w:numFmt w:val="bullet"/>
      <w:lvlText w:val=""/>
      <w:lvlJc w:val="left"/>
      <w:pPr>
        <w:ind w:left="2880" w:hanging="360"/>
      </w:pPr>
      <w:rPr>
        <w:rFonts w:ascii="Symbol" w:hAnsi="Symbol" w:hint="default"/>
      </w:rPr>
    </w:lvl>
    <w:lvl w:ilvl="4" w:tplc="33DAA6DA" w:tentative="1">
      <w:start w:val="1"/>
      <w:numFmt w:val="bullet"/>
      <w:lvlText w:val="o"/>
      <w:lvlJc w:val="left"/>
      <w:pPr>
        <w:ind w:left="3600" w:hanging="360"/>
      </w:pPr>
      <w:rPr>
        <w:rFonts w:ascii="Courier New" w:hAnsi="Courier New" w:cs="Courier New" w:hint="default"/>
      </w:rPr>
    </w:lvl>
    <w:lvl w:ilvl="5" w:tplc="97DC8316" w:tentative="1">
      <w:start w:val="1"/>
      <w:numFmt w:val="bullet"/>
      <w:lvlText w:val=""/>
      <w:lvlJc w:val="left"/>
      <w:pPr>
        <w:ind w:left="4320" w:hanging="360"/>
      </w:pPr>
      <w:rPr>
        <w:rFonts w:ascii="Wingdings" w:hAnsi="Wingdings" w:hint="default"/>
      </w:rPr>
    </w:lvl>
    <w:lvl w:ilvl="6" w:tplc="4AA045D6" w:tentative="1">
      <w:start w:val="1"/>
      <w:numFmt w:val="bullet"/>
      <w:lvlText w:val=""/>
      <w:lvlJc w:val="left"/>
      <w:pPr>
        <w:ind w:left="5040" w:hanging="360"/>
      </w:pPr>
      <w:rPr>
        <w:rFonts w:ascii="Symbol" w:hAnsi="Symbol" w:hint="default"/>
      </w:rPr>
    </w:lvl>
    <w:lvl w:ilvl="7" w:tplc="9D3C8B78" w:tentative="1">
      <w:start w:val="1"/>
      <w:numFmt w:val="bullet"/>
      <w:lvlText w:val="o"/>
      <w:lvlJc w:val="left"/>
      <w:pPr>
        <w:ind w:left="5760" w:hanging="360"/>
      </w:pPr>
      <w:rPr>
        <w:rFonts w:ascii="Courier New" w:hAnsi="Courier New" w:cs="Courier New" w:hint="default"/>
      </w:rPr>
    </w:lvl>
    <w:lvl w:ilvl="8" w:tplc="226A8D0E" w:tentative="1">
      <w:start w:val="1"/>
      <w:numFmt w:val="bullet"/>
      <w:lvlText w:val=""/>
      <w:lvlJc w:val="left"/>
      <w:pPr>
        <w:ind w:left="6480" w:hanging="360"/>
      </w:pPr>
      <w:rPr>
        <w:rFonts w:ascii="Wingdings" w:hAnsi="Wingdings" w:hint="default"/>
      </w:rPr>
    </w:lvl>
  </w:abstractNum>
  <w:abstractNum w:abstractNumId="23" w15:restartNumberingAfterBreak="0">
    <w:nsid w:val="74094F88"/>
    <w:multiLevelType w:val="hybridMultilevel"/>
    <w:tmpl w:val="E7FC6238"/>
    <w:lvl w:ilvl="0" w:tplc="232830A4">
      <w:start w:val="1"/>
      <w:numFmt w:val="decimal"/>
      <w:lvlText w:val="%1."/>
      <w:lvlJc w:val="left"/>
      <w:pPr>
        <w:ind w:left="360" w:hanging="360"/>
      </w:pPr>
      <w:rPr>
        <w:rFonts w:cs="Times New Roman" w:hint="default"/>
      </w:rPr>
    </w:lvl>
    <w:lvl w:ilvl="1" w:tplc="7A800F0C" w:tentative="1">
      <w:start w:val="1"/>
      <w:numFmt w:val="lowerLetter"/>
      <w:lvlText w:val="%2."/>
      <w:lvlJc w:val="left"/>
      <w:pPr>
        <w:ind w:left="1222" w:hanging="360"/>
      </w:pPr>
      <w:rPr>
        <w:rFonts w:cs="Times New Roman"/>
      </w:rPr>
    </w:lvl>
    <w:lvl w:ilvl="2" w:tplc="954C2664" w:tentative="1">
      <w:start w:val="1"/>
      <w:numFmt w:val="lowerRoman"/>
      <w:lvlText w:val="%3."/>
      <w:lvlJc w:val="right"/>
      <w:pPr>
        <w:ind w:left="1942" w:hanging="180"/>
      </w:pPr>
      <w:rPr>
        <w:rFonts w:cs="Times New Roman"/>
      </w:rPr>
    </w:lvl>
    <w:lvl w:ilvl="3" w:tplc="444A4950" w:tentative="1">
      <w:start w:val="1"/>
      <w:numFmt w:val="decimal"/>
      <w:lvlText w:val="%4."/>
      <w:lvlJc w:val="left"/>
      <w:pPr>
        <w:ind w:left="2662" w:hanging="360"/>
      </w:pPr>
      <w:rPr>
        <w:rFonts w:cs="Times New Roman"/>
      </w:rPr>
    </w:lvl>
    <w:lvl w:ilvl="4" w:tplc="FA8C9140" w:tentative="1">
      <w:start w:val="1"/>
      <w:numFmt w:val="lowerLetter"/>
      <w:lvlText w:val="%5."/>
      <w:lvlJc w:val="left"/>
      <w:pPr>
        <w:ind w:left="3382" w:hanging="360"/>
      </w:pPr>
      <w:rPr>
        <w:rFonts w:cs="Times New Roman"/>
      </w:rPr>
    </w:lvl>
    <w:lvl w:ilvl="5" w:tplc="DA9AFA40" w:tentative="1">
      <w:start w:val="1"/>
      <w:numFmt w:val="lowerRoman"/>
      <w:lvlText w:val="%6."/>
      <w:lvlJc w:val="right"/>
      <w:pPr>
        <w:ind w:left="4102" w:hanging="180"/>
      </w:pPr>
      <w:rPr>
        <w:rFonts w:cs="Times New Roman"/>
      </w:rPr>
    </w:lvl>
    <w:lvl w:ilvl="6" w:tplc="267CD05A" w:tentative="1">
      <w:start w:val="1"/>
      <w:numFmt w:val="decimal"/>
      <w:lvlText w:val="%7."/>
      <w:lvlJc w:val="left"/>
      <w:pPr>
        <w:ind w:left="4822" w:hanging="360"/>
      </w:pPr>
      <w:rPr>
        <w:rFonts w:cs="Times New Roman"/>
      </w:rPr>
    </w:lvl>
    <w:lvl w:ilvl="7" w:tplc="827E8F04" w:tentative="1">
      <w:start w:val="1"/>
      <w:numFmt w:val="lowerLetter"/>
      <w:lvlText w:val="%8."/>
      <w:lvlJc w:val="left"/>
      <w:pPr>
        <w:ind w:left="5542" w:hanging="360"/>
      </w:pPr>
      <w:rPr>
        <w:rFonts w:cs="Times New Roman"/>
      </w:rPr>
    </w:lvl>
    <w:lvl w:ilvl="8" w:tplc="28049FBE"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3"/>
  </w:num>
  <w:num w:numId="4">
    <w:abstractNumId w:val="19"/>
  </w:num>
  <w:num w:numId="5">
    <w:abstractNumId w:val="21"/>
  </w:num>
  <w:num w:numId="6">
    <w:abstractNumId w:val="11"/>
  </w:num>
  <w:num w:numId="7">
    <w:abstractNumId w:val="7"/>
  </w:num>
  <w:num w:numId="8">
    <w:abstractNumId w:val="6"/>
  </w:num>
  <w:num w:numId="9">
    <w:abstractNumId w:val="20"/>
  </w:num>
  <w:num w:numId="10">
    <w:abstractNumId w:val="18"/>
  </w:num>
  <w:num w:numId="11">
    <w:abstractNumId w:val="2"/>
  </w:num>
  <w:num w:numId="12">
    <w:abstractNumId w:val="3"/>
  </w:num>
  <w:num w:numId="13">
    <w:abstractNumId w:val="14"/>
  </w:num>
  <w:num w:numId="14">
    <w:abstractNumId w:val="13"/>
  </w:num>
  <w:num w:numId="15">
    <w:abstractNumId w:val="16"/>
  </w:num>
  <w:num w:numId="16">
    <w:abstractNumId w:val="17"/>
  </w:num>
  <w:num w:numId="17">
    <w:abstractNumId w:val="1"/>
  </w:num>
  <w:num w:numId="18">
    <w:abstractNumId w:val="22"/>
  </w:num>
  <w:num w:numId="19">
    <w:abstractNumId w:val="12"/>
  </w:num>
  <w:num w:numId="20">
    <w:abstractNumId w:val="4"/>
  </w:num>
  <w:num w:numId="21">
    <w:abstractNumId w:val="15"/>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C2"/>
    <w:rsid w:val="00000E99"/>
    <w:rsid w:val="000321EF"/>
    <w:rsid w:val="00044712"/>
    <w:rsid w:val="00065E49"/>
    <w:rsid w:val="000A0638"/>
    <w:rsid w:val="000C5DB4"/>
    <w:rsid w:val="000F4085"/>
    <w:rsid w:val="000F7D21"/>
    <w:rsid w:val="0019395F"/>
    <w:rsid w:val="001C3A79"/>
    <w:rsid w:val="001F1DE4"/>
    <w:rsid w:val="0025195B"/>
    <w:rsid w:val="00276296"/>
    <w:rsid w:val="003151B0"/>
    <w:rsid w:val="00367FBE"/>
    <w:rsid w:val="003C6D0F"/>
    <w:rsid w:val="003D780B"/>
    <w:rsid w:val="004A6F22"/>
    <w:rsid w:val="004C637A"/>
    <w:rsid w:val="004F0725"/>
    <w:rsid w:val="005330E8"/>
    <w:rsid w:val="005519C2"/>
    <w:rsid w:val="005958E9"/>
    <w:rsid w:val="005E0D22"/>
    <w:rsid w:val="005E5354"/>
    <w:rsid w:val="006266B4"/>
    <w:rsid w:val="006E09A0"/>
    <w:rsid w:val="00703CE4"/>
    <w:rsid w:val="0072328A"/>
    <w:rsid w:val="007715FB"/>
    <w:rsid w:val="00780870"/>
    <w:rsid w:val="00783325"/>
    <w:rsid w:val="007D2949"/>
    <w:rsid w:val="007F2F8F"/>
    <w:rsid w:val="0084613D"/>
    <w:rsid w:val="008725D6"/>
    <w:rsid w:val="00915B5E"/>
    <w:rsid w:val="00957CF9"/>
    <w:rsid w:val="00A23DB7"/>
    <w:rsid w:val="00A26684"/>
    <w:rsid w:val="00A412DE"/>
    <w:rsid w:val="00A53AE8"/>
    <w:rsid w:val="00AD67B3"/>
    <w:rsid w:val="00B05D5E"/>
    <w:rsid w:val="00C40927"/>
    <w:rsid w:val="00C70AAC"/>
    <w:rsid w:val="00C8628F"/>
    <w:rsid w:val="00CA1FBA"/>
    <w:rsid w:val="00D0197F"/>
    <w:rsid w:val="00D25881"/>
    <w:rsid w:val="00D63D87"/>
    <w:rsid w:val="00D650EA"/>
    <w:rsid w:val="00EC1F4C"/>
    <w:rsid w:val="00EF51FD"/>
    <w:rsid w:val="00F00B6E"/>
    <w:rsid w:val="00F15E20"/>
    <w:rsid w:val="00F64375"/>
    <w:rsid w:val="00F66AB3"/>
    <w:rsid w:val="00F9468D"/>
    <w:rsid w:val="00F948F2"/>
    <w:rsid w:val="00F970E3"/>
    <w:rsid w:val="00FA77D0"/>
    <w:rsid w:val="00FD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766D5B-1EC9-4B61-AF87-8871C5F9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16562">
      <w:bodyDiv w:val="1"/>
      <w:marLeft w:val="0"/>
      <w:marRight w:val="0"/>
      <w:marTop w:val="0"/>
      <w:marBottom w:val="0"/>
      <w:divBdr>
        <w:top w:val="none" w:sz="0" w:space="0" w:color="auto"/>
        <w:left w:val="none" w:sz="0" w:space="0" w:color="auto"/>
        <w:bottom w:val="none" w:sz="0" w:space="0" w:color="auto"/>
        <w:right w:val="none" w:sz="0" w:space="0" w:color="auto"/>
      </w:divBdr>
    </w:div>
    <w:div w:id="19441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Treasury\Reporting\16-17\Audit%20&amp;%20Gov%20Ctte%20Reports\Nov%2016\Debt%20Monitoring%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DEBT PORTFOLIO 2016-17</a:t>
            </a:r>
          </a:p>
        </c:rich>
      </c:tx>
      <c:layout/>
      <c:overlay val="0"/>
      <c:spPr>
        <a:noFill/>
      </c:spPr>
    </c:title>
    <c:autoTitleDeleted val="0"/>
    <c:plotArea>
      <c:layout>
        <c:manualLayout>
          <c:layoutTarget val="inner"/>
          <c:xMode val="edge"/>
          <c:yMode val="edge"/>
          <c:x val="0.14160543925183441"/>
          <c:y val="0.13067725909261338"/>
          <c:w val="0.82623498427884223"/>
          <c:h val="0.61944764716914913"/>
        </c:manualLayout>
      </c:layout>
      <c:lineChart>
        <c:grouping val="standard"/>
        <c:varyColors val="0"/>
        <c:ser>
          <c:idx val="2"/>
          <c:order val="0"/>
          <c:tx>
            <c:v>Authorised Limit</c:v>
          </c:tx>
          <c:spPr>
            <a:ln>
              <a:solidFill>
                <a:srgbClr val="00B050"/>
              </a:solidFill>
            </a:ln>
          </c:spPr>
          <c:marker>
            <c:symbol val="none"/>
          </c:marker>
          <c:cat>
            <c:numRef>
              <c:f>Data!$A$2:$A$367</c:f>
              <c:numCache>
                <c:formatCode>dd/mm/yy;@</c:formatCode>
                <c:ptCount val="366"/>
                <c:pt idx="0">
                  <c:v>42461</c:v>
                </c:pt>
                <c:pt idx="1">
                  <c:v>42462</c:v>
                </c:pt>
                <c:pt idx="2">
                  <c:v>42463</c:v>
                </c:pt>
                <c:pt idx="3">
                  <c:v>42464</c:v>
                </c:pt>
                <c:pt idx="4">
                  <c:v>42465</c:v>
                </c:pt>
                <c:pt idx="5">
                  <c:v>42466</c:v>
                </c:pt>
                <c:pt idx="6">
                  <c:v>42467</c:v>
                </c:pt>
                <c:pt idx="7">
                  <c:v>42468</c:v>
                </c:pt>
                <c:pt idx="8">
                  <c:v>42469</c:v>
                </c:pt>
                <c:pt idx="9">
                  <c:v>42470</c:v>
                </c:pt>
                <c:pt idx="10">
                  <c:v>42471</c:v>
                </c:pt>
                <c:pt idx="11">
                  <c:v>42472</c:v>
                </c:pt>
                <c:pt idx="12">
                  <c:v>42473</c:v>
                </c:pt>
                <c:pt idx="13">
                  <c:v>42474</c:v>
                </c:pt>
                <c:pt idx="14">
                  <c:v>42475</c:v>
                </c:pt>
                <c:pt idx="15">
                  <c:v>42476</c:v>
                </c:pt>
                <c:pt idx="16">
                  <c:v>42477</c:v>
                </c:pt>
                <c:pt idx="17">
                  <c:v>42478</c:v>
                </c:pt>
                <c:pt idx="18">
                  <c:v>42479</c:v>
                </c:pt>
                <c:pt idx="19">
                  <c:v>42480</c:v>
                </c:pt>
                <c:pt idx="20">
                  <c:v>42481</c:v>
                </c:pt>
                <c:pt idx="21">
                  <c:v>42482</c:v>
                </c:pt>
                <c:pt idx="22">
                  <c:v>42483</c:v>
                </c:pt>
                <c:pt idx="23">
                  <c:v>42484</c:v>
                </c:pt>
                <c:pt idx="24">
                  <c:v>42485</c:v>
                </c:pt>
                <c:pt idx="25">
                  <c:v>42486</c:v>
                </c:pt>
                <c:pt idx="26">
                  <c:v>42487</c:v>
                </c:pt>
                <c:pt idx="27">
                  <c:v>42488</c:v>
                </c:pt>
                <c:pt idx="28">
                  <c:v>42489</c:v>
                </c:pt>
                <c:pt idx="29">
                  <c:v>42490</c:v>
                </c:pt>
                <c:pt idx="30">
                  <c:v>42491</c:v>
                </c:pt>
                <c:pt idx="31">
                  <c:v>42492</c:v>
                </c:pt>
                <c:pt idx="32">
                  <c:v>42493</c:v>
                </c:pt>
                <c:pt idx="33">
                  <c:v>42494</c:v>
                </c:pt>
                <c:pt idx="34">
                  <c:v>42495</c:v>
                </c:pt>
                <c:pt idx="35">
                  <c:v>42496</c:v>
                </c:pt>
                <c:pt idx="36">
                  <c:v>42497</c:v>
                </c:pt>
                <c:pt idx="37">
                  <c:v>42498</c:v>
                </c:pt>
                <c:pt idx="38">
                  <c:v>42499</c:v>
                </c:pt>
                <c:pt idx="39">
                  <c:v>42500</c:v>
                </c:pt>
                <c:pt idx="40">
                  <c:v>42501</c:v>
                </c:pt>
                <c:pt idx="41">
                  <c:v>42502</c:v>
                </c:pt>
                <c:pt idx="42">
                  <c:v>42503</c:v>
                </c:pt>
                <c:pt idx="43">
                  <c:v>42504</c:v>
                </c:pt>
                <c:pt idx="44">
                  <c:v>42505</c:v>
                </c:pt>
                <c:pt idx="45">
                  <c:v>42506</c:v>
                </c:pt>
                <c:pt idx="46">
                  <c:v>42507</c:v>
                </c:pt>
                <c:pt idx="47">
                  <c:v>42508</c:v>
                </c:pt>
                <c:pt idx="48">
                  <c:v>42509</c:v>
                </c:pt>
                <c:pt idx="49">
                  <c:v>42510</c:v>
                </c:pt>
                <c:pt idx="50">
                  <c:v>42511</c:v>
                </c:pt>
                <c:pt idx="51">
                  <c:v>42512</c:v>
                </c:pt>
                <c:pt idx="52">
                  <c:v>42513</c:v>
                </c:pt>
                <c:pt idx="53">
                  <c:v>42514</c:v>
                </c:pt>
                <c:pt idx="54">
                  <c:v>42515</c:v>
                </c:pt>
                <c:pt idx="55">
                  <c:v>42516</c:v>
                </c:pt>
                <c:pt idx="56">
                  <c:v>42517</c:v>
                </c:pt>
                <c:pt idx="57">
                  <c:v>42518</c:v>
                </c:pt>
                <c:pt idx="58">
                  <c:v>42519</c:v>
                </c:pt>
                <c:pt idx="59">
                  <c:v>42520</c:v>
                </c:pt>
                <c:pt idx="60">
                  <c:v>42521</c:v>
                </c:pt>
                <c:pt idx="61">
                  <c:v>42522</c:v>
                </c:pt>
                <c:pt idx="62">
                  <c:v>42523</c:v>
                </c:pt>
                <c:pt idx="63">
                  <c:v>42524</c:v>
                </c:pt>
                <c:pt idx="64">
                  <c:v>42525</c:v>
                </c:pt>
                <c:pt idx="65">
                  <c:v>42526</c:v>
                </c:pt>
                <c:pt idx="66">
                  <c:v>42527</c:v>
                </c:pt>
                <c:pt idx="67">
                  <c:v>42528</c:v>
                </c:pt>
                <c:pt idx="68">
                  <c:v>42529</c:v>
                </c:pt>
                <c:pt idx="69">
                  <c:v>42530</c:v>
                </c:pt>
                <c:pt idx="70">
                  <c:v>42531</c:v>
                </c:pt>
                <c:pt idx="71">
                  <c:v>42532</c:v>
                </c:pt>
                <c:pt idx="72">
                  <c:v>42533</c:v>
                </c:pt>
                <c:pt idx="73">
                  <c:v>42534</c:v>
                </c:pt>
                <c:pt idx="74">
                  <c:v>42535</c:v>
                </c:pt>
                <c:pt idx="75">
                  <c:v>42536</c:v>
                </c:pt>
                <c:pt idx="76">
                  <c:v>42537</c:v>
                </c:pt>
                <c:pt idx="77">
                  <c:v>42538</c:v>
                </c:pt>
                <c:pt idx="78">
                  <c:v>42539</c:v>
                </c:pt>
                <c:pt idx="79">
                  <c:v>42540</c:v>
                </c:pt>
                <c:pt idx="80">
                  <c:v>42541</c:v>
                </c:pt>
                <c:pt idx="81">
                  <c:v>42542</c:v>
                </c:pt>
                <c:pt idx="82">
                  <c:v>42543</c:v>
                </c:pt>
                <c:pt idx="83">
                  <c:v>42544</c:v>
                </c:pt>
                <c:pt idx="84">
                  <c:v>42545</c:v>
                </c:pt>
                <c:pt idx="85">
                  <c:v>42546</c:v>
                </c:pt>
                <c:pt idx="86">
                  <c:v>42547</c:v>
                </c:pt>
                <c:pt idx="87">
                  <c:v>42548</c:v>
                </c:pt>
                <c:pt idx="88">
                  <c:v>42549</c:v>
                </c:pt>
                <c:pt idx="89">
                  <c:v>42550</c:v>
                </c:pt>
                <c:pt idx="90">
                  <c:v>42551</c:v>
                </c:pt>
                <c:pt idx="91">
                  <c:v>42552</c:v>
                </c:pt>
                <c:pt idx="92">
                  <c:v>42553</c:v>
                </c:pt>
                <c:pt idx="93">
                  <c:v>42554</c:v>
                </c:pt>
                <c:pt idx="94">
                  <c:v>42555</c:v>
                </c:pt>
                <c:pt idx="95">
                  <c:v>42556</c:v>
                </c:pt>
                <c:pt idx="96">
                  <c:v>42557</c:v>
                </c:pt>
                <c:pt idx="97">
                  <c:v>42558</c:v>
                </c:pt>
                <c:pt idx="98">
                  <c:v>42559</c:v>
                </c:pt>
                <c:pt idx="99">
                  <c:v>42560</c:v>
                </c:pt>
                <c:pt idx="100">
                  <c:v>42561</c:v>
                </c:pt>
                <c:pt idx="101">
                  <c:v>42562</c:v>
                </c:pt>
                <c:pt idx="102">
                  <c:v>42563</c:v>
                </c:pt>
                <c:pt idx="103">
                  <c:v>42564</c:v>
                </c:pt>
                <c:pt idx="104">
                  <c:v>42565</c:v>
                </c:pt>
                <c:pt idx="105">
                  <c:v>42566</c:v>
                </c:pt>
                <c:pt idx="106">
                  <c:v>42567</c:v>
                </c:pt>
                <c:pt idx="107">
                  <c:v>42568</c:v>
                </c:pt>
                <c:pt idx="108">
                  <c:v>42569</c:v>
                </c:pt>
                <c:pt idx="109">
                  <c:v>42570</c:v>
                </c:pt>
                <c:pt idx="110">
                  <c:v>42571</c:v>
                </c:pt>
                <c:pt idx="111">
                  <c:v>42572</c:v>
                </c:pt>
                <c:pt idx="112">
                  <c:v>42573</c:v>
                </c:pt>
                <c:pt idx="113">
                  <c:v>42574</c:v>
                </c:pt>
                <c:pt idx="114">
                  <c:v>42575</c:v>
                </c:pt>
                <c:pt idx="115">
                  <c:v>42576</c:v>
                </c:pt>
                <c:pt idx="116">
                  <c:v>42577</c:v>
                </c:pt>
                <c:pt idx="117">
                  <c:v>42578</c:v>
                </c:pt>
                <c:pt idx="118">
                  <c:v>42579</c:v>
                </c:pt>
                <c:pt idx="119">
                  <c:v>42580</c:v>
                </c:pt>
                <c:pt idx="120">
                  <c:v>42581</c:v>
                </c:pt>
                <c:pt idx="121">
                  <c:v>42582</c:v>
                </c:pt>
                <c:pt idx="122">
                  <c:v>42583</c:v>
                </c:pt>
                <c:pt idx="123">
                  <c:v>42584</c:v>
                </c:pt>
                <c:pt idx="124">
                  <c:v>42585</c:v>
                </c:pt>
                <c:pt idx="125">
                  <c:v>42586</c:v>
                </c:pt>
                <c:pt idx="126">
                  <c:v>42587</c:v>
                </c:pt>
                <c:pt idx="127">
                  <c:v>42588</c:v>
                </c:pt>
                <c:pt idx="128">
                  <c:v>42589</c:v>
                </c:pt>
                <c:pt idx="129">
                  <c:v>42590</c:v>
                </c:pt>
                <c:pt idx="130">
                  <c:v>42591</c:v>
                </c:pt>
                <c:pt idx="131">
                  <c:v>42592</c:v>
                </c:pt>
                <c:pt idx="132">
                  <c:v>42593</c:v>
                </c:pt>
                <c:pt idx="133">
                  <c:v>42594</c:v>
                </c:pt>
                <c:pt idx="134">
                  <c:v>42595</c:v>
                </c:pt>
                <c:pt idx="135">
                  <c:v>42596</c:v>
                </c:pt>
                <c:pt idx="136">
                  <c:v>42597</c:v>
                </c:pt>
                <c:pt idx="137">
                  <c:v>42598</c:v>
                </c:pt>
                <c:pt idx="138">
                  <c:v>42599</c:v>
                </c:pt>
                <c:pt idx="139">
                  <c:v>42600</c:v>
                </c:pt>
                <c:pt idx="140">
                  <c:v>42601</c:v>
                </c:pt>
                <c:pt idx="141">
                  <c:v>42602</c:v>
                </c:pt>
                <c:pt idx="142">
                  <c:v>42603</c:v>
                </c:pt>
                <c:pt idx="143">
                  <c:v>42604</c:v>
                </c:pt>
                <c:pt idx="144">
                  <c:v>42605</c:v>
                </c:pt>
                <c:pt idx="145">
                  <c:v>42606</c:v>
                </c:pt>
                <c:pt idx="146">
                  <c:v>42607</c:v>
                </c:pt>
                <c:pt idx="147">
                  <c:v>42608</c:v>
                </c:pt>
                <c:pt idx="148">
                  <c:v>42609</c:v>
                </c:pt>
                <c:pt idx="149">
                  <c:v>42610</c:v>
                </c:pt>
                <c:pt idx="150">
                  <c:v>42611</c:v>
                </c:pt>
                <c:pt idx="151">
                  <c:v>42612</c:v>
                </c:pt>
                <c:pt idx="152">
                  <c:v>42613</c:v>
                </c:pt>
                <c:pt idx="153">
                  <c:v>42614</c:v>
                </c:pt>
                <c:pt idx="154">
                  <c:v>42615</c:v>
                </c:pt>
                <c:pt idx="155">
                  <c:v>42616</c:v>
                </c:pt>
                <c:pt idx="156">
                  <c:v>42617</c:v>
                </c:pt>
                <c:pt idx="157">
                  <c:v>42618</c:v>
                </c:pt>
                <c:pt idx="158">
                  <c:v>42619</c:v>
                </c:pt>
                <c:pt idx="159">
                  <c:v>42620</c:v>
                </c:pt>
                <c:pt idx="160">
                  <c:v>42621</c:v>
                </c:pt>
                <c:pt idx="161">
                  <c:v>42622</c:v>
                </c:pt>
                <c:pt idx="162">
                  <c:v>42623</c:v>
                </c:pt>
                <c:pt idx="163">
                  <c:v>42624</c:v>
                </c:pt>
                <c:pt idx="164">
                  <c:v>42625</c:v>
                </c:pt>
                <c:pt idx="165">
                  <c:v>42626</c:v>
                </c:pt>
                <c:pt idx="166">
                  <c:v>42627</c:v>
                </c:pt>
                <c:pt idx="167">
                  <c:v>42628</c:v>
                </c:pt>
                <c:pt idx="168">
                  <c:v>42629</c:v>
                </c:pt>
                <c:pt idx="169">
                  <c:v>42630</c:v>
                </c:pt>
                <c:pt idx="170">
                  <c:v>42631</c:v>
                </c:pt>
                <c:pt idx="171">
                  <c:v>42632</c:v>
                </c:pt>
                <c:pt idx="172">
                  <c:v>42633</c:v>
                </c:pt>
                <c:pt idx="173">
                  <c:v>42634</c:v>
                </c:pt>
                <c:pt idx="174">
                  <c:v>42635</c:v>
                </c:pt>
                <c:pt idx="175">
                  <c:v>42636</c:v>
                </c:pt>
                <c:pt idx="176">
                  <c:v>42637</c:v>
                </c:pt>
                <c:pt idx="177">
                  <c:v>42638</c:v>
                </c:pt>
                <c:pt idx="178">
                  <c:v>42639</c:v>
                </c:pt>
                <c:pt idx="179">
                  <c:v>42640</c:v>
                </c:pt>
                <c:pt idx="180">
                  <c:v>42641</c:v>
                </c:pt>
                <c:pt idx="181">
                  <c:v>42642</c:v>
                </c:pt>
                <c:pt idx="182">
                  <c:v>42643</c:v>
                </c:pt>
                <c:pt idx="183">
                  <c:v>42644</c:v>
                </c:pt>
                <c:pt idx="184">
                  <c:v>42645</c:v>
                </c:pt>
                <c:pt idx="185">
                  <c:v>42646</c:v>
                </c:pt>
                <c:pt idx="186">
                  <c:v>42647</c:v>
                </c:pt>
                <c:pt idx="187">
                  <c:v>42648</c:v>
                </c:pt>
                <c:pt idx="188">
                  <c:v>42649</c:v>
                </c:pt>
                <c:pt idx="189">
                  <c:v>42650</c:v>
                </c:pt>
                <c:pt idx="190">
                  <c:v>42651</c:v>
                </c:pt>
                <c:pt idx="191">
                  <c:v>42652</c:v>
                </c:pt>
                <c:pt idx="192">
                  <c:v>42653</c:v>
                </c:pt>
                <c:pt idx="193">
                  <c:v>42654</c:v>
                </c:pt>
                <c:pt idx="194">
                  <c:v>42655</c:v>
                </c:pt>
                <c:pt idx="195">
                  <c:v>42656</c:v>
                </c:pt>
                <c:pt idx="196">
                  <c:v>42657</c:v>
                </c:pt>
                <c:pt idx="197">
                  <c:v>42658</c:v>
                </c:pt>
                <c:pt idx="198">
                  <c:v>42659</c:v>
                </c:pt>
                <c:pt idx="199">
                  <c:v>42660</c:v>
                </c:pt>
                <c:pt idx="200">
                  <c:v>42661</c:v>
                </c:pt>
                <c:pt idx="201">
                  <c:v>42662</c:v>
                </c:pt>
                <c:pt idx="202">
                  <c:v>42663</c:v>
                </c:pt>
                <c:pt idx="203">
                  <c:v>42664</c:v>
                </c:pt>
                <c:pt idx="204">
                  <c:v>42665</c:v>
                </c:pt>
                <c:pt idx="205">
                  <c:v>42666</c:v>
                </c:pt>
                <c:pt idx="206">
                  <c:v>42667</c:v>
                </c:pt>
                <c:pt idx="207">
                  <c:v>42668</c:v>
                </c:pt>
                <c:pt idx="208">
                  <c:v>42669</c:v>
                </c:pt>
                <c:pt idx="209">
                  <c:v>42670</c:v>
                </c:pt>
                <c:pt idx="210">
                  <c:v>42671</c:v>
                </c:pt>
                <c:pt idx="211">
                  <c:v>42672</c:v>
                </c:pt>
                <c:pt idx="212">
                  <c:v>42673</c:v>
                </c:pt>
                <c:pt idx="213">
                  <c:v>42674</c:v>
                </c:pt>
                <c:pt idx="214">
                  <c:v>42675</c:v>
                </c:pt>
                <c:pt idx="215">
                  <c:v>42676</c:v>
                </c:pt>
                <c:pt idx="216">
                  <c:v>42677</c:v>
                </c:pt>
                <c:pt idx="217">
                  <c:v>42678</c:v>
                </c:pt>
                <c:pt idx="218">
                  <c:v>42679</c:v>
                </c:pt>
                <c:pt idx="219">
                  <c:v>42680</c:v>
                </c:pt>
                <c:pt idx="220">
                  <c:v>42681</c:v>
                </c:pt>
                <c:pt idx="221">
                  <c:v>42682</c:v>
                </c:pt>
                <c:pt idx="222">
                  <c:v>42683</c:v>
                </c:pt>
                <c:pt idx="223">
                  <c:v>42684</c:v>
                </c:pt>
                <c:pt idx="224">
                  <c:v>42685</c:v>
                </c:pt>
                <c:pt idx="225">
                  <c:v>42686</c:v>
                </c:pt>
                <c:pt idx="226">
                  <c:v>42687</c:v>
                </c:pt>
                <c:pt idx="227">
                  <c:v>42688</c:v>
                </c:pt>
                <c:pt idx="228">
                  <c:v>42689</c:v>
                </c:pt>
                <c:pt idx="229">
                  <c:v>42690</c:v>
                </c:pt>
                <c:pt idx="230">
                  <c:v>42691</c:v>
                </c:pt>
                <c:pt idx="231">
                  <c:v>42692</c:v>
                </c:pt>
                <c:pt idx="232">
                  <c:v>42693</c:v>
                </c:pt>
                <c:pt idx="233">
                  <c:v>42694</c:v>
                </c:pt>
                <c:pt idx="234">
                  <c:v>42695</c:v>
                </c:pt>
                <c:pt idx="235">
                  <c:v>42696</c:v>
                </c:pt>
                <c:pt idx="236">
                  <c:v>42697</c:v>
                </c:pt>
                <c:pt idx="237">
                  <c:v>42698</c:v>
                </c:pt>
                <c:pt idx="238">
                  <c:v>42699</c:v>
                </c:pt>
                <c:pt idx="239">
                  <c:v>42700</c:v>
                </c:pt>
                <c:pt idx="240">
                  <c:v>42701</c:v>
                </c:pt>
                <c:pt idx="241">
                  <c:v>42702</c:v>
                </c:pt>
                <c:pt idx="242">
                  <c:v>42703</c:v>
                </c:pt>
                <c:pt idx="243">
                  <c:v>42704</c:v>
                </c:pt>
                <c:pt idx="244">
                  <c:v>42705</c:v>
                </c:pt>
                <c:pt idx="245">
                  <c:v>42706</c:v>
                </c:pt>
                <c:pt idx="246">
                  <c:v>42707</c:v>
                </c:pt>
                <c:pt idx="247">
                  <c:v>42708</c:v>
                </c:pt>
                <c:pt idx="248">
                  <c:v>42709</c:v>
                </c:pt>
                <c:pt idx="249">
                  <c:v>42710</c:v>
                </c:pt>
                <c:pt idx="250">
                  <c:v>42711</c:v>
                </c:pt>
                <c:pt idx="251">
                  <c:v>42712</c:v>
                </c:pt>
                <c:pt idx="252">
                  <c:v>42713</c:v>
                </c:pt>
                <c:pt idx="253">
                  <c:v>42714</c:v>
                </c:pt>
                <c:pt idx="254">
                  <c:v>42715</c:v>
                </c:pt>
                <c:pt idx="255">
                  <c:v>42716</c:v>
                </c:pt>
                <c:pt idx="256">
                  <c:v>42717</c:v>
                </c:pt>
                <c:pt idx="257">
                  <c:v>42718</c:v>
                </c:pt>
                <c:pt idx="258">
                  <c:v>42719</c:v>
                </c:pt>
                <c:pt idx="259">
                  <c:v>42720</c:v>
                </c:pt>
                <c:pt idx="260">
                  <c:v>42721</c:v>
                </c:pt>
                <c:pt idx="261">
                  <c:v>42722</c:v>
                </c:pt>
                <c:pt idx="262">
                  <c:v>42723</c:v>
                </c:pt>
                <c:pt idx="263">
                  <c:v>42724</c:v>
                </c:pt>
                <c:pt idx="264">
                  <c:v>42725</c:v>
                </c:pt>
                <c:pt idx="265">
                  <c:v>42726</c:v>
                </c:pt>
                <c:pt idx="266">
                  <c:v>42727</c:v>
                </c:pt>
                <c:pt idx="267">
                  <c:v>42728</c:v>
                </c:pt>
                <c:pt idx="268">
                  <c:v>42729</c:v>
                </c:pt>
                <c:pt idx="269">
                  <c:v>42730</c:v>
                </c:pt>
                <c:pt idx="270">
                  <c:v>42731</c:v>
                </c:pt>
                <c:pt idx="271">
                  <c:v>42732</c:v>
                </c:pt>
                <c:pt idx="272">
                  <c:v>42733</c:v>
                </c:pt>
                <c:pt idx="273">
                  <c:v>42734</c:v>
                </c:pt>
                <c:pt idx="274">
                  <c:v>42735</c:v>
                </c:pt>
                <c:pt idx="275">
                  <c:v>42736</c:v>
                </c:pt>
                <c:pt idx="276">
                  <c:v>42737</c:v>
                </c:pt>
                <c:pt idx="277">
                  <c:v>42738</c:v>
                </c:pt>
                <c:pt idx="278">
                  <c:v>42739</c:v>
                </c:pt>
                <c:pt idx="279">
                  <c:v>42740</c:v>
                </c:pt>
                <c:pt idx="280">
                  <c:v>42741</c:v>
                </c:pt>
                <c:pt idx="281">
                  <c:v>42742</c:v>
                </c:pt>
                <c:pt idx="282">
                  <c:v>42743</c:v>
                </c:pt>
                <c:pt idx="283">
                  <c:v>42744</c:v>
                </c:pt>
                <c:pt idx="284">
                  <c:v>42745</c:v>
                </c:pt>
                <c:pt idx="285">
                  <c:v>42746</c:v>
                </c:pt>
                <c:pt idx="286">
                  <c:v>42747</c:v>
                </c:pt>
                <c:pt idx="287">
                  <c:v>42748</c:v>
                </c:pt>
                <c:pt idx="288">
                  <c:v>42749</c:v>
                </c:pt>
                <c:pt idx="289">
                  <c:v>42750</c:v>
                </c:pt>
                <c:pt idx="290">
                  <c:v>42751</c:v>
                </c:pt>
                <c:pt idx="291">
                  <c:v>42752</c:v>
                </c:pt>
                <c:pt idx="292">
                  <c:v>42753</c:v>
                </c:pt>
                <c:pt idx="293">
                  <c:v>42754</c:v>
                </c:pt>
                <c:pt idx="294">
                  <c:v>42755</c:v>
                </c:pt>
                <c:pt idx="295">
                  <c:v>42756</c:v>
                </c:pt>
                <c:pt idx="296">
                  <c:v>42757</c:v>
                </c:pt>
                <c:pt idx="297">
                  <c:v>42758</c:v>
                </c:pt>
                <c:pt idx="298">
                  <c:v>42759</c:v>
                </c:pt>
                <c:pt idx="299">
                  <c:v>42760</c:v>
                </c:pt>
                <c:pt idx="300">
                  <c:v>42761</c:v>
                </c:pt>
                <c:pt idx="301">
                  <c:v>42762</c:v>
                </c:pt>
                <c:pt idx="302">
                  <c:v>42763</c:v>
                </c:pt>
                <c:pt idx="303">
                  <c:v>42764</c:v>
                </c:pt>
                <c:pt idx="304">
                  <c:v>42765</c:v>
                </c:pt>
                <c:pt idx="305">
                  <c:v>42766</c:v>
                </c:pt>
                <c:pt idx="306">
                  <c:v>42767</c:v>
                </c:pt>
                <c:pt idx="307">
                  <c:v>42768</c:v>
                </c:pt>
                <c:pt idx="308">
                  <c:v>42769</c:v>
                </c:pt>
                <c:pt idx="309">
                  <c:v>42770</c:v>
                </c:pt>
                <c:pt idx="310">
                  <c:v>42771</c:v>
                </c:pt>
                <c:pt idx="311">
                  <c:v>42772</c:v>
                </c:pt>
                <c:pt idx="312">
                  <c:v>42773</c:v>
                </c:pt>
                <c:pt idx="313">
                  <c:v>42774</c:v>
                </c:pt>
                <c:pt idx="314">
                  <c:v>42775</c:v>
                </c:pt>
                <c:pt idx="315">
                  <c:v>42776</c:v>
                </c:pt>
                <c:pt idx="316">
                  <c:v>42777</c:v>
                </c:pt>
                <c:pt idx="317">
                  <c:v>42778</c:v>
                </c:pt>
                <c:pt idx="318">
                  <c:v>42779</c:v>
                </c:pt>
                <c:pt idx="319">
                  <c:v>42780</c:v>
                </c:pt>
                <c:pt idx="320">
                  <c:v>42781</c:v>
                </c:pt>
                <c:pt idx="321">
                  <c:v>42782</c:v>
                </c:pt>
                <c:pt idx="322">
                  <c:v>42783</c:v>
                </c:pt>
                <c:pt idx="323">
                  <c:v>42784</c:v>
                </c:pt>
                <c:pt idx="324">
                  <c:v>42785</c:v>
                </c:pt>
                <c:pt idx="325">
                  <c:v>42786</c:v>
                </c:pt>
                <c:pt idx="326">
                  <c:v>42787</c:v>
                </c:pt>
                <c:pt idx="327">
                  <c:v>42788</c:v>
                </c:pt>
                <c:pt idx="328">
                  <c:v>42789</c:v>
                </c:pt>
                <c:pt idx="329">
                  <c:v>42790</c:v>
                </c:pt>
                <c:pt idx="330">
                  <c:v>42791</c:v>
                </c:pt>
                <c:pt idx="331">
                  <c:v>42792</c:v>
                </c:pt>
                <c:pt idx="332">
                  <c:v>42793</c:v>
                </c:pt>
                <c:pt idx="333">
                  <c:v>42794</c:v>
                </c:pt>
                <c:pt idx="334">
                  <c:v>42795</c:v>
                </c:pt>
                <c:pt idx="335">
                  <c:v>42796</c:v>
                </c:pt>
                <c:pt idx="336">
                  <c:v>42797</c:v>
                </c:pt>
                <c:pt idx="337">
                  <c:v>42798</c:v>
                </c:pt>
                <c:pt idx="338">
                  <c:v>42799</c:v>
                </c:pt>
                <c:pt idx="339">
                  <c:v>42800</c:v>
                </c:pt>
                <c:pt idx="340">
                  <c:v>42801</c:v>
                </c:pt>
                <c:pt idx="341">
                  <c:v>42802</c:v>
                </c:pt>
                <c:pt idx="342">
                  <c:v>42803</c:v>
                </c:pt>
                <c:pt idx="343">
                  <c:v>42804</c:v>
                </c:pt>
                <c:pt idx="344">
                  <c:v>42805</c:v>
                </c:pt>
                <c:pt idx="345">
                  <c:v>42806</c:v>
                </c:pt>
                <c:pt idx="346">
                  <c:v>42807</c:v>
                </c:pt>
                <c:pt idx="347">
                  <c:v>42808</c:v>
                </c:pt>
                <c:pt idx="348">
                  <c:v>42809</c:v>
                </c:pt>
                <c:pt idx="349">
                  <c:v>42810</c:v>
                </c:pt>
                <c:pt idx="350">
                  <c:v>42811</c:v>
                </c:pt>
                <c:pt idx="351">
                  <c:v>42812</c:v>
                </c:pt>
                <c:pt idx="352">
                  <c:v>42813</c:v>
                </c:pt>
                <c:pt idx="353">
                  <c:v>42814</c:v>
                </c:pt>
                <c:pt idx="354">
                  <c:v>42815</c:v>
                </c:pt>
                <c:pt idx="355">
                  <c:v>42816</c:v>
                </c:pt>
                <c:pt idx="356">
                  <c:v>42817</c:v>
                </c:pt>
                <c:pt idx="357">
                  <c:v>42818</c:v>
                </c:pt>
                <c:pt idx="358">
                  <c:v>42819</c:v>
                </c:pt>
                <c:pt idx="359">
                  <c:v>42820</c:v>
                </c:pt>
                <c:pt idx="360">
                  <c:v>42821</c:v>
                </c:pt>
                <c:pt idx="361">
                  <c:v>42822</c:v>
                </c:pt>
                <c:pt idx="362">
                  <c:v>42823</c:v>
                </c:pt>
                <c:pt idx="363">
                  <c:v>42824</c:v>
                </c:pt>
                <c:pt idx="364">
                  <c:v>42825</c:v>
                </c:pt>
                <c:pt idx="365">
                  <c:v>42826</c:v>
                </c:pt>
              </c:numCache>
            </c:numRef>
          </c:cat>
          <c:val>
            <c:numRef>
              <c:f>Data!$C$2:$C$367</c:f>
              <c:numCache>
                <c:formatCode>_-* #,##0_-;\-* #,##0_-;_-* "-"??_-;_-@_-</c:formatCode>
                <c:ptCount val="366"/>
                <c:pt idx="0">
                  <c:v>1250000000</c:v>
                </c:pt>
                <c:pt idx="1">
                  <c:v>1250000000</c:v>
                </c:pt>
                <c:pt idx="2">
                  <c:v>1250000000</c:v>
                </c:pt>
                <c:pt idx="3">
                  <c:v>1250000000</c:v>
                </c:pt>
                <c:pt idx="4">
                  <c:v>1250000000</c:v>
                </c:pt>
                <c:pt idx="5">
                  <c:v>1250000000</c:v>
                </c:pt>
                <c:pt idx="6">
                  <c:v>1250000000</c:v>
                </c:pt>
                <c:pt idx="7">
                  <c:v>1250000000</c:v>
                </c:pt>
                <c:pt idx="8">
                  <c:v>1250000000</c:v>
                </c:pt>
                <c:pt idx="9">
                  <c:v>1250000000</c:v>
                </c:pt>
                <c:pt idx="10">
                  <c:v>1250000000</c:v>
                </c:pt>
                <c:pt idx="11">
                  <c:v>1250000000</c:v>
                </c:pt>
                <c:pt idx="12">
                  <c:v>1250000000</c:v>
                </c:pt>
                <c:pt idx="13">
                  <c:v>1250000000</c:v>
                </c:pt>
                <c:pt idx="14">
                  <c:v>1250000000</c:v>
                </c:pt>
                <c:pt idx="15">
                  <c:v>1250000000</c:v>
                </c:pt>
                <c:pt idx="16">
                  <c:v>1250000000</c:v>
                </c:pt>
                <c:pt idx="17">
                  <c:v>1250000000</c:v>
                </c:pt>
                <c:pt idx="18">
                  <c:v>1250000000</c:v>
                </c:pt>
                <c:pt idx="19">
                  <c:v>1250000000</c:v>
                </c:pt>
                <c:pt idx="20">
                  <c:v>1250000000</c:v>
                </c:pt>
                <c:pt idx="21">
                  <c:v>1250000000</c:v>
                </c:pt>
                <c:pt idx="22">
                  <c:v>1250000000</c:v>
                </c:pt>
                <c:pt idx="23">
                  <c:v>1250000000</c:v>
                </c:pt>
                <c:pt idx="24">
                  <c:v>1250000000</c:v>
                </c:pt>
                <c:pt idx="25">
                  <c:v>1250000000</c:v>
                </c:pt>
                <c:pt idx="26">
                  <c:v>1250000000</c:v>
                </c:pt>
                <c:pt idx="27">
                  <c:v>1250000000</c:v>
                </c:pt>
                <c:pt idx="28">
                  <c:v>1250000000</c:v>
                </c:pt>
                <c:pt idx="29">
                  <c:v>1250000000</c:v>
                </c:pt>
                <c:pt idx="30">
                  <c:v>1250000000</c:v>
                </c:pt>
                <c:pt idx="31">
                  <c:v>1250000000</c:v>
                </c:pt>
                <c:pt idx="32">
                  <c:v>1250000000</c:v>
                </c:pt>
                <c:pt idx="33">
                  <c:v>1250000000</c:v>
                </c:pt>
                <c:pt idx="34">
                  <c:v>1250000000</c:v>
                </c:pt>
                <c:pt idx="35">
                  <c:v>1250000000</c:v>
                </c:pt>
                <c:pt idx="36">
                  <c:v>1250000000</c:v>
                </c:pt>
                <c:pt idx="37">
                  <c:v>1250000000</c:v>
                </c:pt>
                <c:pt idx="38">
                  <c:v>1250000000</c:v>
                </c:pt>
                <c:pt idx="39">
                  <c:v>1250000000</c:v>
                </c:pt>
                <c:pt idx="40">
                  <c:v>1250000000</c:v>
                </c:pt>
                <c:pt idx="41">
                  <c:v>1250000000</c:v>
                </c:pt>
                <c:pt idx="42">
                  <c:v>1250000000</c:v>
                </c:pt>
                <c:pt idx="43">
                  <c:v>1250000000</c:v>
                </c:pt>
                <c:pt idx="44">
                  <c:v>1250000000</c:v>
                </c:pt>
                <c:pt idx="45">
                  <c:v>1250000000</c:v>
                </c:pt>
                <c:pt idx="46">
                  <c:v>1250000000</c:v>
                </c:pt>
                <c:pt idx="47">
                  <c:v>1250000000</c:v>
                </c:pt>
                <c:pt idx="48">
                  <c:v>1250000000</c:v>
                </c:pt>
                <c:pt idx="49">
                  <c:v>1250000000</c:v>
                </c:pt>
                <c:pt idx="50">
                  <c:v>1250000000</c:v>
                </c:pt>
                <c:pt idx="51">
                  <c:v>1250000000</c:v>
                </c:pt>
                <c:pt idx="52">
                  <c:v>1250000000</c:v>
                </c:pt>
                <c:pt idx="53">
                  <c:v>1250000000</c:v>
                </c:pt>
                <c:pt idx="54">
                  <c:v>1250000000</c:v>
                </c:pt>
                <c:pt idx="55">
                  <c:v>1250000000</c:v>
                </c:pt>
                <c:pt idx="56">
                  <c:v>1250000000</c:v>
                </c:pt>
                <c:pt idx="57">
                  <c:v>1250000000</c:v>
                </c:pt>
                <c:pt idx="58">
                  <c:v>1250000000</c:v>
                </c:pt>
                <c:pt idx="59">
                  <c:v>1250000000</c:v>
                </c:pt>
                <c:pt idx="60">
                  <c:v>1250000000</c:v>
                </c:pt>
                <c:pt idx="61">
                  <c:v>1250000000</c:v>
                </c:pt>
                <c:pt idx="62">
                  <c:v>1250000000</c:v>
                </c:pt>
                <c:pt idx="63">
                  <c:v>1250000000</c:v>
                </c:pt>
                <c:pt idx="64">
                  <c:v>1250000000</c:v>
                </c:pt>
                <c:pt idx="65">
                  <c:v>1250000000</c:v>
                </c:pt>
                <c:pt idx="66">
                  <c:v>1250000000</c:v>
                </c:pt>
                <c:pt idx="67">
                  <c:v>1250000000</c:v>
                </c:pt>
                <c:pt idx="68">
                  <c:v>1250000000</c:v>
                </c:pt>
                <c:pt idx="69">
                  <c:v>1250000000</c:v>
                </c:pt>
                <c:pt idx="70">
                  <c:v>1250000000</c:v>
                </c:pt>
                <c:pt idx="71">
                  <c:v>1250000000</c:v>
                </c:pt>
                <c:pt idx="72">
                  <c:v>1250000000</c:v>
                </c:pt>
                <c:pt idx="73">
                  <c:v>1250000000</c:v>
                </c:pt>
                <c:pt idx="74">
                  <c:v>1250000000</c:v>
                </c:pt>
                <c:pt idx="75">
                  <c:v>1250000000</c:v>
                </c:pt>
                <c:pt idx="76">
                  <c:v>1250000000</c:v>
                </c:pt>
                <c:pt idx="77">
                  <c:v>1250000000</c:v>
                </c:pt>
                <c:pt idx="78">
                  <c:v>1250000000</c:v>
                </c:pt>
                <c:pt idx="79">
                  <c:v>1250000000</c:v>
                </c:pt>
                <c:pt idx="80">
                  <c:v>1250000000</c:v>
                </c:pt>
                <c:pt idx="81">
                  <c:v>1250000000</c:v>
                </c:pt>
                <c:pt idx="82">
                  <c:v>1250000000</c:v>
                </c:pt>
                <c:pt idx="83">
                  <c:v>1250000000</c:v>
                </c:pt>
                <c:pt idx="84">
                  <c:v>1250000000</c:v>
                </c:pt>
                <c:pt idx="85">
                  <c:v>1250000000</c:v>
                </c:pt>
                <c:pt idx="86">
                  <c:v>1250000000</c:v>
                </c:pt>
                <c:pt idx="87">
                  <c:v>1250000000</c:v>
                </c:pt>
                <c:pt idx="88">
                  <c:v>1250000000</c:v>
                </c:pt>
                <c:pt idx="89">
                  <c:v>1250000000</c:v>
                </c:pt>
                <c:pt idx="90">
                  <c:v>1250000000</c:v>
                </c:pt>
                <c:pt idx="91">
                  <c:v>1250000000</c:v>
                </c:pt>
                <c:pt idx="92">
                  <c:v>1250000000</c:v>
                </c:pt>
                <c:pt idx="93">
                  <c:v>1250000000</c:v>
                </c:pt>
                <c:pt idx="94">
                  <c:v>1250000000</c:v>
                </c:pt>
                <c:pt idx="95">
                  <c:v>1250000000</c:v>
                </c:pt>
                <c:pt idx="96">
                  <c:v>1250000000</c:v>
                </c:pt>
                <c:pt idx="97">
                  <c:v>1250000000</c:v>
                </c:pt>
                <c:pt idx="98">
                  <c:v>1250000000</c:v>
                </c:pt>
                <c:pt idx="99">
                  <c:v>1250000000</c:v>
                </c:pt>
                <c:pt idx="100">
                  <c:v>1250000000</c:v>
                </c:pt>
                <c:pt idx="101">
                  <c:v>1250000000</c:v>
                </c:pt>
                <c:pt idx="102">
                  <c:v>1250000000</c:v>
                </c:pt>
                <c:pt idx="103">
                  <c:v>1250000000</c:v>
                </c:pt>
                <c:pt idx="104">
                  <c:v>1250000000</c:v>
                </c:pt>
                <c:pt idx="105">
                  <c:v>1250000000</c:v>
                </c:pt>
                <c:pt idx="106">
                  <c:v>1250000000</c:v>
                </c:pt>
                <c:pt idx="107">
                  <c:v>1250000000</c:v>
                </c:pt>
                <c:pt idx="108">
                  <c:v>1250000000</c:v>
                </c:pt>
                <c:pt idx="109">
                  <c:v>1250000000</c:v>
                </c:pt>
                <c:pt idx="110">
                  <c:v>1250000000</c:v>
                </c:pt>
                <c:pt idx="111">
                  <c:v>1250000000</c:v>
                </c:pt>
                <c:pt idx="112">
                  <c:v>1250000000</c:v>
                </c:pt>
                <c:pt idx="113">
                  <c:v>1250000000</c:v>
                </c:pt>
                <c:pt idx="114">
                  <c:v>1250000000</c:v>
                </c:pt>
                <c:pt idx="115">
                  <c:v>1250000000</c:v>
                </c:pt>
                <c:pt idx="116">
                  <c:v>1250000000</c:v>
                </c:pt>
                <c:pt idx="117">
                  <c:v>1250000000</c:v>
                </c:pt>
                <c:pt idx="118">
                  <c:v>1250000000</c:v>
                </c:pt>
                <c:pt idx="119">
                  <c:v>1250000000</c:v>
                </c:pt>
                <c:pt idx="120">
                  <c:v>1250000000</c:v>
                </c:pt>
                <c:pt idx="121">
                  <c:v>1250000000</c:v>
                </c:pt>
                <c:pt idx="122">
                  <c:v>1250000000</c:v>
                </c:pt>
                <c:pt idx="123">
                  <c:v>1250000000</c:v>
                </c:pt>
                <c:pt idx="124">
                  <c:v>1250000000</c:v>
                </c:pt>
                <c:pt idx="125">
                  <c:v>1250000000</c:v>
                </c:pt>
                <c:pt idx="126">
                  <c:v>1250000000</c:v>
                </c:pt>
                <c:pt idx="127">
                  <c:v>1250000000</c:v>
                </c:pt>
                <c:pt idx="128">
                  <c:v>1250000000</c:v>
                </c:pt>
                <c:pt idx="129">
                  <c:v>1250000000</c:v>
                </c:pt>
                <c:pt idx="130">
                  <c:v>1250000000</c:v>
                </c:pt>
                <c:pt idx="131">
                  <c:v>1250000000</c:v>
                </c:pt>
                <c:pt idx="132">
                  <c:v>1250000000</c:v>
                </c:pt>
                <c:pt idx="133">
                  <c:v>1250000000</c:v>
                </c:pt>
                <c:pt idx="134">
                  <c:v>1250000000</c:v>
                </c:pt>
                <c:pt idx="135">
                  <c:v>1250000000</c:v>
                </c:pt>
                <c:pt idx="136">
                  <c:v>1250000000</c:v>
                </c:pt>
                <c:pt idx="137">
                  <c:v>1250000000</c:v>
                </c:pt>
                <c:pt idx="138">
                  <c:v>1250000000</c:v>
                </c:pt>
                <c:pt idx="139">
                  <c:v>1250000000</c:v>
                </c:pt>
                <c:pt idx="140">
                  <c:v>1250000000</c:v>
                </c:pt>
                <c:pt idx="141">
                  <c:v>1250000000</c:v>
                </c:pt>
                <c:pt idx="142">
                  <c:v>1250000000</c:v>
                </c:pt>
                <c:pt idx="143">
                  <c:v>1250000000</c:v>
                </c:pt>
                <c:pt idx="144">
                  <c:v>1250000000</c:v>
                </c:pt>
                <c:pt idx="145">
                  <c:v>1250000000</c:v>
                </c:pt>
                <c:pt idx="146">
                  <c:v>1250000000</c:v>
                </c:pt>
                <c:pt idx="147">
                  <c:v>1250000000</c:v>
                </c:pt>
                <c:pt idx="148">
                  <c:v>1250000000</c:v>
                </c:pt>
                <c:pt idx="149">
                  <c:v>1250000000</c:v>
                </c:pt>
                <c:pt idx="150">
                  <c:v>1250000000</c:v>
                </c:pt>
                <c:pt idx="151">
                  <c:v>1250000000</c:v>
                </c:pt>
                <c:pt idx="152">
                  <c:v>1250000000</c:v>
                </c:pt>
                <c:pt idx="153">
                  <c:v>1250000000</c:v>
                </c:pt>
                <c:pt idx="154">
                  <c:v>1250000000</c:v>
                </c:pt>
                <c:pt idx="155">
                  <c:v>1250000000</c:v>
                </c:pt>
                <c:pt idx="156">
                  <c:v>1250000000</c:v>
                </c:pt>
                <c:pt idx="157">
                  <c:v>1250000000</c:v>
                </c:pt>
                <c:pt idx="158">
                  <c:v>1250000000</c:v>
                </c:pt>
                <c:pt idx="159">
                  <c:v>1250000000</c:v>
                </c:pt>
                <c:pt idx="160">
                  <c:v>1250000000</c:v>
                </c:pt>
                <c:pt idx="161">
                  <c:v>1250000000</c:v>
                </c:pt>
                <c:pt idx="162">
                  <c:v>1250000000</c:v>
                </c:pt>
                <c:pt idx="163">
                  <c:v>1250000000</c:v>
                </c:pt>
                <c:pt idx="164">
                  <c:v>1250000000</c:v>
                </c:pt>
                <c:pt idx="165">
                  <c:v>1250000000</c:v>
                </c:pt>
                <c:pt idx="166">
                  <c:v>1250000000</c:v>
                </c:pt>
                <c:pt idx="167">
                  <c:v>1250000000</c:v>
                </c:pt>
                <c:pt idx="168">
                  <c:v>1250000000</c:v>
                </c:pt>
                <c:pt idx="169">
                  <c:v>1250000000</c:v>
                </c:pt>
                <c:pt idx="170">
                  <c:v>1250000000</c:v>
                </c:pt>
                <c:pt idx="171">
                  <c:v>1250000000</c:v>
                </c:pt>
                <c:pt idx="172">
                  <c:v>1250000000</c:v>
                </c:pt>
                <c:pt idx="173">
                  <c:v>1250000000</c:v>
                </c:pt>
                <c:pt idx="174">
                  <c:v>1250000000</c:v>
                </c:pt>
                <c:pt idx="175">
                  <c:v>1250000000</c:v>
                </c:pt>
                <c:pt idx="176">
                  <c:v>1250000000</c:v>
                </c:pt>
                <c:pt idx="177">
                  <c:v>1250000000</c:v>
                </c:pt>
                <c:pt idx="178">
                  <c:v>1250000000</c:v>
                </c:pt>
                <c:pt idx="179">
                  <c:v>1250000000</c:v>
                </c:pt>
                <c:pt idx="180">
                  <c:v>1250000000</c:v>
                </c:pt>
                <c:pt idx="181">
                  <c:v>1250000000</c:v>
                </c:pt>
                <c:pt idx="182">
                  <c:v>1250000000</c:v>
                </c:pt>
                <c:pt idx="183">
                  <c:v>1250000000</c:v>
                </c:pt>
                <c:pt idx="184">
                  <c:v>1250000000</c:v>
                </c:pt>
                <c:pt idx="185">
                  <c:v>1250000000</c:v>
                </c:pt>
                <c:pt idx="186">
                  <c:v>1250000000</c:v>
                </c:pt>
                <c:pt idx="187">
                  <c:v>1250000000</c:v>
                </c:pt>
                <c:pt idx="188">
                  <c:v>1250000000</c:v>
                </c:pt>
                <c:pt idx="189">
                  <c:v>1250000000</c:v>
                </c:pt>
                <c:pt idx="190">
                  <c:v>1250000000</c:v>
                </c:pt>
                <c:pt idx="191">
                  <c:v>1250000000</c:v>
                </c:pt>
                <c:pt idx="192">
                  <c:v>1250000000</c:v>
                </c:pt>
                <c:pt idx="193">
                  <c:v>1250000000</c:v>
                </c:pt>
                <c:pt idx="194">
                  <c:v>1250000000</c:v>
                </c:pt>
                <c:pt idx="195">
                  <c:v>1250000000</c:v>
                </c:pt>
                <c:pt idx="196">
                  <c:v>1250000000</c:v>
                </c:pt>
                <c:pt idx="197">
                  <c:v>1250000000</c:v>
                </c:pt>
                <c:pt idx="198">
                  <c:v>1250000000</c:v>
                </c:pt>
                <c:pt idx="199">
                  <c:v>1250000000</c:v>
                </c:pt>
                <c:pt idx="200">
                  <c:v>1250000000</c:v>
                </c:pt>
                <c:pt idx="201">
                  <c:v>1250000000</c:v>
                </c:pt>
                <c:pt idx="202">
                  <c:v>1250000000</c:v>
                </c:pt>
                <c:pt idx="203">
                  <c:v>1250000000</c:v>
                </c:pt>
                <c:pt idx="204">
                  <c:v>1250000000</c:v>
                </c:pt>
                <c:pt idx="205">
                  <c:v>1250000000</c:v>
                </c:pt>
                <c:pt idx="206">
                  <c:v>1250000000</c:v>
                </c:pt>
                <c:pt idx="207">
                  <c:v>1250000000</c:v>
                </c:pt>
                <c:pt idx="208">
                  <c:v>1250000000</c:v>
                </c:pt>
                <c:pt idx="209">
                  <c:v>1250000000</c:v>
                </c:pt>
                <c:pt idx="210">
                  <c:v>1250000000</c:v>
                </c:pt>
                <c:pt idx="211">
                  <c:v>1250000000</c:v>
                </c:pt>
                <c:pt idx="212">
                  <c:v>1250000000</c:v>
                </c:pt>
                <c:pt idx="213">
                  <c:v>1250000000</c:v>
                </c:pt>
                <c:pt idx="214">
                  <c:v>1250000000</c:v>
                </c:pt>
                <c:pt idx="215">
                  <c:v>1250000000</c:v>
                </c:pt>
                <c:pt idx="216">
                  <c:v>1250000000</c:v>
                </c:pt>
                <c:pt idx="217">
                  <c:v>1250000000</c:v>
                </c:pt>
                <c:pt idx="218">
                  <c:v>1250000000</c:v>
                </c:pt>
                <c:pt idx="219">
                  <c:v>1250000000</c:v>
                </c:pt>
                <c:pt idx="220">
                  <c:v>1250000000</c:v>
                </c:pt>
                <c:pt idx="221">
                  <c:v>1250000000</c:v>
                </c:pt>
                <c:pt idx="222">
                  <c:v>1250000000</c:v>
                </c:pt>
                <c:pt idx="223">
                  <c:v>1250000000</c:v>
                </c:pt>
                <c:pt idx="224">
                  <c:v>1250000000</c:v>
                </c:pt>
                <c:pt idx="225">
                  <c:v>1250000000</c:v>
                </c:pt>
                <c:pt idx="226">
                  <c:v>1250000000</c:v>
                </c:pt>
                <c:pt idx="227">
                  <c:v>1250000000</c:v>
                </c:pt>
                <c:pt idx="228">
                  <c:v>1250000000</c:v>
                </c:pt>
                <c:pt idx="229">
                  <c:v>1250000000</c:v>
                </c:pt>
                <c:pt idx="230">
                  <c:v>1250000000</c:v>
                </c:pt>
                <c:pt idx="231">
                  <c:v>1250000000</c:v>
                </c:pt>
                <c:pt idx="232">
                  <c:v>1250000000</c:v>
                </c:pt>
                <c:pt idx="233">
                  <c:v>1250000000</c:v>
                </c:pt>
                <c:pt idx="234">
                  <c:v>1250000000</c:v>
                </c:pt>
                <c:pt idx="235">
                  <c:v>1250000000</c:v>
                </c:pt>
                <c:pt idx="236">
                  <c:v>1250000000</c:v>
                </c:pt>
                <c:pt idx="237">
                  <c:v>1250000000</c:v>
                </c:pt>
                <c:pt idx="238">
                  <c:v>1250000000</c:v>
                </c:pt>
                <c:pt idx="239">
                  <c:v>1250000000</c:v>
                </c:pt>
                <c:pt idx="240">
                  <c:v>1250000000</c:v>
                </c:pt>
                <c:pt idx="241">
                  <c:v>1250000000</c:v>
                </c:pt>
                <c:pt idx="242">
                  <c:v>1250000000</c:v>
                </c:pt>
                <c:pt idx="243">
                  <c:v>1250000000</c:v>
                </c:pt>
                <c:pt idx="244">
                  <c:v>1250000000</c:v>
                </c:pt>
                <c:pt idx="245">
                  <c:v>1250000000</c:v>
                </c:pt>
                <c:pt idx="246">
                  <c:v>1250000000</c:v>
                </c:pt>
                <c:pt idx="247">
                  <c:v>1250000000</c:v>
                </c:pt>
                <c:pt idx="248">
                  <c:v>1250000000</c:v>
                </c:pt>
                <c:pt idx="249">
                  <c:v>1250000000</c:v>
                </c:pt>
                <c:pt idx="250">
                  <c:v>1250000000</c:v>
                </c:pt>
                <c:pt idx="251">
                  <c:v>1250000000</c:v>
                </c:pt>
                <c:pt idx="252">
                  <c:v>1250000000</c:v>
                </c:pt>
                <c:pt idx="253">
                  <c:v>1250000000</c:v>
                </c:pt>
                <c:pt idx="254">
                  <c:v>1250000000</c:v>
                </c:pt>
                <c:pt idx="255">
                  <c:v>1250000000</c:v>
                </c:pt>
                <c:pt idx="256">
                  <c:v>1250000000</c:v>
                </c:pt>
                <c:pt idx="257">
                  <c:v>1250000000</c:v>
                </c:pt>
                <c:pt idx="258">
                  <c:v>1250000000</c:v>
                </c:pt>
                <c:pt idx="259">
                  <c:v>1250000000</c:v>
                </c:pt>
                <c:pt idx="260">
                  <c:v>1250000000</c:v>
                </c:pt>
                <c:pt idx="261">
                  <c:v>1250000000</c:v>
                </c:pt>
                <c:pt idx="262">
                  <c:v>1250000000</c:v>
                </c:pt>
                <c:pt idx="263">
                  <c:v>1250000000</c:v>
                </c:pt>
                <c:pt idx="264">
                  <c:v>1250000000</c:v>
                </c:pt>
                <c:pt idx="265">
                  <c:v>1250000000</c:v>
                </c:pt>
                <c:pt idx="266">
                  <c:v>1250000000</c:v>
                </c:pt>
                <c:pt idx="267">
                  <c:v>1250000000</c:v>
                </c:pt>
                <c:pt idx="268">
                  <c:v>1250000000</c:v>
                </c:pt>
                <c:pt idx="269">
                  <c:v>1250000000</c:v>
                </c:pt>
                <c:pt idx="270">
                  <c:v>1250000000</c:v>
                </c:pt>
                <c:pt idx="271">
                  <c:v>1250000000</c:v>
                </c:pt>
                <c:pt idx="272">
                  <c:v>1250000000</c:v>
                </c:pt>
                <c:pt idx="273">
                  <c:v>1250000000</c:v>
                </c:pt>
                <c:pt idx="274">
                  <c:v>1250000000</c:v>
                </c:pt>
                <c:pt idx="275">
                  <c:v>1250000000</c:v>
                </c:pt>
                <c:pt idx="276">
                  <c:v>1250000000</c:v>
                </c:pt>
                <c:pt idx="277">
                  <c:v>1250000000</c:v>
                </c:pt>
                <c:pt idx="278">
                  <c:v>1250000000</c:v>
                </c:pt>
                <c:pt idx="279">
                  <c:v>1250000000</c:v>
                </c:pt>
                <c:pt idx="280">
                  <c:v>1250000000</c:v>
                </c:pt>
                <c:pt idx="281">
                  <c:v>1250000000</c:v>
                </c:pt>
                <c:pt idx="282">
                  <c:v>1250000000</c:v>
                </c:pt>
                <c:pt idx="283">
                  <c:v>1250000000</c:v>
                </c:pt>
                <c:pt idx="284">
                  <c:v>1250000000</c:v>
                </c:pt>
                <c:pt idx="285">
                  <c:v>1250000000</c:v>
                </c:pt>
                <c:pt idx="286">
                  <c:v>1250000000</c:v>
                </c:pt>
                <c:pt idx="287">
                  <c:v>1250000000</c:v>
                </c:pt>
                <c:pt idx="288">
                  <c:v>1250000000</c:v>
                </c:pt>
                <c:pt idx="289">
                  <c:v>1250000000</c:v>
                </c:pt>
                <c:pt idx="290">
                  <c:v>1250000000</c:v>
                </c:pt>
                <c:pt idx="291">
                  <c:v>1250000000</c:v>
                </c:pt>
                <c:pt idx="292">
                  <c:v>1250000000</c:v>
                </c:pt>
                <c:pt idx="293">
                  <c:v>1250000000</c:v>
                </c:pt>
                <c:pt idx="294">
                  <c:v>1250000000</c:v>
                </c:pt>
                <c:pt idx="295">
                  <c:v>1250000000</c:v>
                </c:pt>
                <c:pt idx="296">
                  <c:v>1250000000</c:v>
                </c:pt>
                <c:pt idx="297">
                  <c:v>1250000000</c:v>
                </c:pt>
                <c:pt idx="298">
                  <c:v>1250000000</c:v>
                </c:pt>
                <c:pt idx="299">
                  <c:v>1250000000</c:v>
                </c:pt>
                <c:pt idx="300">
                  <c:v>1250000000</c:v>
                </c:pt>
                <c:pt idx="301">
                  <c:v>1250000000</c:v>
                </c:pt>
                <c:pt idx="302">
                  <c:v>1250000000</c:v>
                </c:pt>
                <c:pt idx="303">
                  <c:v>1250000000</c:v>
                </c:pt>
                <c:pt idx="304">
                  <c:v>1250000000</c:v>
                </c:pt>
                <c:pt idx="305">
                  <c:v>1250000000</c:v>
                </c:pt>
                <c:pt idx="306">
                  <c:v>1250000000</c:v>
                </c:pt>
                <c:pt idx="307">
                  <c:v>1250000000</c:v>
                </c:pt>
                <c:pt idx="308">
                  <c:v>1250000000</c:v>
                </c:pt>
                <c:pt idx="309">
                  <c:v>1250000000</c:v>
                </c:pt>
                <c:pt idx="310">
                  <c:v>1250000000</c:v>
                </c:pt>
                <c:pt idx="311">
                  <c:v>1250000000</c:v>
                </c:pt>
                <c:pt idx="312">
                  <c:v>1250000000</c:v>
                </c:pt>
                <c:pt idx="313">
                  <c:v>1250000000</c:v>
                </c:pt>
                <c:pt idx="314">
                  <c:v>1250000000</c:v>
                </c:pt>
                <c:pt idx="315">
                  <c:v>1250000000</c:v>
                </c:pt>
                <c:pt idx="316">
                  <c:v>1250000000</c:v>
                </c:pt>
                <c:pt idx="317">
                  <c:v>1250000000</c:v>
                </c:pt>
                <c:pt idx="318">
                  <c:v>1250000000</c:v>
                </c:pt>
                <c:pt idx="319">
                  <c:v>1250000000</c:v>
                </c:pt>
                <c:pt idx="320">
                  <c:v>1250000000</c:v>
                </c:pt>
                <c:pt idx="321">
                  <c:v>1250000000</c:v>
                </c:pt>
                <c:pt idx="322">
                  <c:v>1250000000</c:v>
                </c:pt>
                <c:pt idx="323">
                  <c:v>1250000000</c:v>
                </c:pt>
                <c:pt idx="324">
                  <c:v>1250000000</c:v>
                </c:pt>
                <c:pt idx="325">
                  <c:v>1250000000</c:v>
                </c:pt>
                <c:pt idx="326">
                  <c:v>1250000000</c:v>
                </c:pt>
                <c:pt idx="327">
                  <c:v>1250000000</c:v>
                </c:pt>
                <c:pt idx="328">
                  <c:v>1250000000</c:v>
                </c:pt>
                <c:pt idx="329">
                  <c:v>1250000000</c:v>
                </c:pt>
                <c:pt idx="330">
                  <c:v>1250000000</c:v>
                </c:pt>
                <c:pt idx="331">
                  <c:v>1250000000</c:v>
                </c:pt>
                <c:pt idx="332">
                  <c:v>1250000000</c:v>
                </c:pt>
                <c:pt idx="333">
                  <c:v>1250000000</c:v>
                </c:pt>
                <c:pt idx="334">
                  <c:v>1250000000</c:v>
                </c:pt>
                <c:pt idx="335">
                  <c:v>1250000000</c:v>
                </c:pt>
                <c:pt idx="336">
                  <c:v>1250000000</c:v>
                </c:pt>
                <c:pt idx="337">
                  <c:v>1250000000</c:v>
                </c:pt>
                <c:pt idx="338">
                  <c:v>1250000000</c:v>
                </c:pt>
                <c:pt idx="339">
                  <c:v>1250000000</c:v>
                </c:pt>
                <c:pt idx="340">
                  <c:v>1250000000</c:v>
                </c:pt>
                <c:pt idx="341">
                  <c:v>1250000000</c:v>
                </c:pt>
                <c:pt idx="342">
                  <c:v>1250000000</c:v>
                </c:pt>
                <c:pt idx="343">
                  <c:v>1250000000</c:v>
                </c:pt>
                <c:pt idx="344">
                  <c:v>1250000000</c:v>
                </c:pt>
                <c:pt idx="345">
                  <c:v>1250000000</c:v>
                </c:pt>
                <c:pt idx="346">
                  <c:v>1250000000</c:v>
                </c:pt>
                <c:pt idx="347">
                  <c:v>1250000000</c:v>
                </c:pt>
                <c:pt idx="348">
                  <c:v>1250000000</c:v>
                </c:pt>
                <c:pt idx="349">
                  <c:v>1250000000</c:v>
                </c:pt>
                <c:pt idx="350">
                  <c:v>1250000000</c:v>
                </c:pt>
                <c:pt idx="351">
                  <c:v>1250000000</c:v>
                </c:pt>
                <c:pt idx="352">
                  <c:v>1250000000</c:v>
                </c:pt>
                <c:pt idx="353">
                  <c:v>1250000000</c:v>
                </c:pt>
                <c:pt idx="354">
                  <c:v>1250000000</c:v>
                </c:pt>
                <c:pt idx="355">
                  <c:v>1250000000</c:v>
                </c:pt>
                <c:pt idx="356">
                  <c:v>1250000000</c:v>
                </c:pt>
                <c:pt idx="357">
                  <c:v>1250000000</c:v>
                </c:pt>
                <c:pt idx="358">
                  <c:v>1250000000</c:v>
                </c:pt>
                <c:pt idx="359">
                  <c:v>1250000000</c:v>
                </c:pt>
                <c:pt idx="360">
                  <c:v>1250000000</c:v>
                </c:pt>
                <c:pt idx="361">
                  <c:v>1250000000</c:v>
                </c:pt>
                <c:pt idx="362">
                  <c:v>1250000000</c:v>
                </c:pt>
                <c:pt idx="363">
                  <c:v>1250000000</c:v>
                </c:pt>
                <c:pt idx="364">
                  <c:v>1250000000</c:v>
                </c:pt>
                <c:pt idx="365">
                  <c:v>1250000000</c:v>
                </c:pt>
              </c:numCache>
            </c:numRef>
          </c:val>
          <c:smooth val="0"/>
        </c:ser>
        <c:ser>
          <c:idx val="1"/>
          <c:order val="1"/>
          <c:tx>
            <c:v>Operational Boundary</c:v>
          </c:tx>
          <c:spPr>
            <a:ln>
              <a:prstDash val="lgDashDot"/>
            </a:ln>
          </c:spPr>
          <c:marker>
            <c:symbol val="none"/>
          </c:marker>
          <c:cat>
            <c:numRef>
              <c:f>Data!$A$2:$A$367</c:f>
              <c:numCache>
                <c:formatCode>dd/mm/yy;@</c:formatCode>
                <c:ptCount val="366"/>
                <c:pt idx="0">
                  <c:v>42461</c:v>
                </c:pt>
                <c:pt idx="1">
                  <c:v>42462</c:v>
                </c:pt>
                <c:pt idx="2">
                  <c:v>42463</c:v>
                </c:pt>
                <c:pt idx="3">
                  <c:v>42464</c:v>
                </c:pt>
                <c:pt idx="4">
                  <c:v>42465</c:v>
                </c:pt>
                <c:pt idx="5">
                  <c:v>42466</c:v>
                </c:pt>
                <c:pt idx="6">
                  <c:v>42467</c:v>
                </c:pt>
                <c:pt idx="7">
                  <c:v>42468</c:v>
                </c:pt>
                <c:pt idx="8">
                  <c:v>42469</c:v>
                </c:pt>
                <c:pt idx="9">
                  <c:v>42470</c:v>
                </c:pt>
                <c:pt idx="10">
                  <c:v>42471</c:v>
                </c:pt>
                <c:pt idx="11">
                  <c:v>42472</c:v>
                </c:pt>
                <c:pt idx="12">
                  <c:v>42473</c:v>
                </c:pt>
                <c:pt idx="13">
                  <c:v>42474</c:v>
                </c:pt>
                <c:pt idx="14">
                  <c:v>42475</c:v>
                </c:pt>
                <c:pt idx="15">
                  <c:v>42476</c:v>
                </c:pt>
                <c:pt idx="16">
                  <c:v>42477</c:v>
                </c:pt>
                <c:pt idx="17">
                  <c:v>42478</c:v>
                </c:pt>
                <c:pt idx="18">
                  <c:v>42479</c:v>
                </c:pt>
                <c:pt idx="19">
                  <c:v>42480</c:v>
                </c:pt>
                <c:pt idx="20">
                  <c:v>42481</c:v>
                </c:pt>
                <c:pt idx="21">
                  <c:v>42482</c:v>
                </c:pt>
                <c:pt idx="22">
                  <c:v>42483</c:v>
                </c:pt>
                <c:pt idx="23">
                  <c:v>42484</c:v>
                </c:pt>
                <c:pt idx="24">
                  <c:v>42485</c:v>
                </c:pt>
                <c:pt idx="25">
                  <c:v>42486</c:v>
                </c:pt>
                <c:pt idx="26">
                  <c:v>42487</c:v>
                </c:pt>
                <c:pt idx="27">
                  <c:v>42488</c:v>
                </c:pt>
                <c:pt idx="28">
                  <c:v>42489</c:v>
                </c:pt>
                <c:pt idx="29">
                  <c:v>42490</c:v>
                </c:pt>
                <c:pt idx="30">
                  <c:v>42491</c:v>
                </c:pt>
                <c:pt idx="31">
                  <c:v>42492</c:v>
                </c:pt>
                <c:pt idx="32">
                  <c:v>42493</c:v>
                </c:pt>
                <c:pt idx="33">
                  <c:v>42494</c:v>
                </c:pt>
                <c:pt idx="34">
                  <c:v>42495</c:v>
                </c:pt>
                <c:pt idx="35">
                  <c:v>42496</c:v>
                </c:pt>
                <c:pt idx="36">
                  <c:v>42497</c:v>
                </c:pt>
                <c:pt idx="37">
                  <c:v>42498</c:v>
                </c:pt>
                <c:pt idx="38">
                  <c:v>42499</c:v>
                </c:pt>
                <c:pt idx="39">
                  <c:v>42500</c:v>
                </c:pt>
                <c:pt idx="40">
                  <c:v>42501</c:v>
                </c:pt>
                <c:pt idx="41">
                  <c:v>42502</c:v>
                </c:pt>
                <c:pt idx="42">
                  <c:v>42503</c:v>
                </c:pt>
                <c:pt idx="43">
                  <c:v>42504</c:v>
                </c:pt>
                <c:pt idx="44">
                  <c:v>42505</c:v>
                </c:pt>
                <c:pt idx="45">
                  <c:v>42506</c:v>
                </c:pt>
                <c:pt idx="46">
                  <c:v>42507</c:v>
                </c:pt>
                <c:pt idx="47">
                  <c:v>42508</c:v>
                </c:pt>
                <c:pt idx="48">
                  <c:v>42509</c:v>
                </c:pt>
                <c:pt idx="49">
                  <c:v>42510</c:v>
                </c:pt>
                <c:pt idx="50">
                  <c:v>42511</c:v>
                </c:pt>
                <c:pt idx="51">
                  <c:v>42512</c:v>
                </c:pt>
                <c:pt idx="52">
                  <c:v>42513</c:v>
                </c:pt>
                <c:pt idx="53">
                  <c:v>42514</c:v>
                </c:pt>
                <c:pt idx="54">
                  <c:v>42515</c:v>
                </c:pt>
                <c:pt idx="55">
                  <c:v>42516</c:v>
                </c:pt>
                <c:pt idx="56">
                  <c:v>42517</c:v>
                </c:pt>
                <c:pt idx="57">
                  <c:v>42518</c:v>
                </c:pt>
                <c:pt idx="58">
                  <c:v>42519</c:v>
                </c:pt>
                <c:pt idx="59">
                  <c:v>42520</c:v>
                </c:pt>
                <c:pt idx="60">
                  <c:v>42521</c:v>
                </c:pt>
                <c:pt idx="61">
                  <c:v>42522</c:v>
                </c:pt>
                <c:pt idx="62">
                  <c:v>42523</c:v>
                </c:pt>
                <c:pt idx="63">
                  <c:v>42524</c:v>
                </c:pt>
                <c:pt idx="64">
                  <c:v>42525</c:v>
                </c:pt>
                <c:pt idx="65">
                  <c:v>42526</c:v>
                </c:pt>
                <c:pt idx="66">
                  <c:v>42527</c:v>
                </c:pt>
                <c:pt idx="67">
                  <c:v>42528</c:v>
                </c:pt>
                <c:pt idx="68">
                  <c:v>42529</c:v>
                </c:pt>
                <c:pt idx="69">
                  <c:v>42530</c:v>
                </c:pt>
                <c:pt idx="70">
                  <c:v>42531</c:v>
                </c:pt>
                <c:pt idx="71">
                  <c:v>42532</c:v>
                </c:pt>
                <c:pt idx="72">
                  <c:v>42533</c:v>
                </c:pt>
                <c:pt idx="73">
                  <c:v>42534</c:v>
                </c:pt>
                <c:pt idx="74">
                  <c:v>42535</c:v>
                </c:pt>
                <c:pt idx="75">
                  <c:v>42536</c:v>
                </c:pt>
                <c:pt idx="76">
                  <c:v>42537</c:v>
                </c:pt>
                <c:pt idx="77">
                  <c:v>42538</c:v>
                </c:pt>
                <c:pt idx="78">
                  <c:v>42539</c:v>
                </c:pt>
                <c:pt idx="79">
                  <c:v>42540</c:v>
                </c:pt>
                <c:pt idx="80">
                  <c:v>42541</c:v>
                </c:pt>
                <c:pt idx="81">
                  <c:v>42542</c:v>
                </c:pt>
                <c:pt idx="82">
                  <c:v>42543</c:v>
                </c:pt>
                <c:pt idx="83">
                  <c:v>42544</c:v>
                </c:pt>
                <c:pt idx="84">
                  <c:v>42545</c:v>
                </c:pt>
                <c:pt idx="85">
                  <c:v>42546</c:v>
                </c:pt>
                <c:pt idx="86">
                  <c:v>42547</c:v>
                </c:pt>
                <c:pt idx="87">
                  <c:v>42548</c:v>
                </c:pt>
                <c:pt idx="88">
                  <c:v>42549</c:v>
                </c:pt>
                <c:pt idx="89">
                  <c:v>42550</c:v>
                </c:pt>
                <c:pt idx="90">
                  <c:v>42551</c:v>
                </c:pt>
                <c:pt idx="91">
                  <c:v>42552</c:v>
                </c:pt>
                <c:pt idx="92">
                  <c:v>42553</c:v>
                </c:pt>
                <c:pt idx="93">
                  <c:v>42554</c:v>
                </c:pt>
                <c:pt idx="94">
                  <c:v>42555</c:v>
                </c:pt>
                <c:pt idx="95">
                  <c:v>42556</c:v>
                </c:pt>
                <c:pt idx="96">
                  <c:v>42557</c:v>
                </c:pt>
                <c:pt idx="97">
                  <c:v>42558</c:v>
                </c:pt>
                <c:pt idx="98">
                  <c:v>42559</c:v>
                </c:pt>
                <c:pt idx="99">
                  <c:v>42560</c:v>
                </c:pt>
                <c:pt idx="100">
                  <c:v>42561</c:v>
                </c:pt>
                <c:pt idx="101">
                  <c:v>42562</c:v>
                </c:pt>
                <c:pt idx="102">
                  <c:v>42563</c:v>
                </c:pt>
                <c:pt idx="103">
                  <c:v>42564</c:v>
                </c:pt>
                <c:pt idx="104">
                  <c:v>42565</c:v>
                </c:pt>
                <c:pt idx="105">
                  <c:v>42566</c:v>
                </c:pt>
                <c:pt idx="106">
                  <c:v>42567</c:v>
                </c:pt>
                <c:pt idx="107">
                  <c:v>42568</c:v>
                </c:pt>
                <c:pt idx="108">
                  <c:v>42569</c:v>
                </c:pt>
                <c:pt idx="109">
                  <c:v>42570</c:v>
                </c:pt>
                <c:pt idx="110">
                  <c:v>42571</c:v>
                </c:pt>
                <c:pt idx="111">
                  <c:v>42572</c:v>
                </c:pt>
                <c:pt idx="112">
                  <c:v>42573</c:v>
                </c:pt>
                <c:pt idx="113">
                  <c:v>42574</c:v>
                </c:pt>
                <c:pt idx="114">
                  <c:v>42575</c:v>
                </c:pt>
                <c:pt idx="115">
                  <c:v>42576</c:v>
                </c:pt>
                <c:pt idx="116">
                  <c:v>42577</c:v>
                </c:pt>
                <c:pt idx="117">
                  <c:v>42578</c:v>
                </c:pt>
                <c:pt idx="118">
                  <c:v>42579</c:v>
                </c:pt>
                <c:pt idx="119">
                  <c:v>42580</c:v>
                </c:pt>
                <c:pt idx="120">
                  <c:v>42581</c:v>
                </c:pt>
                <c:pt idx="121">
                  <c:v>42582</c:v>
                </c:pt>
                <c:pt idx="122">
                  <c:v>42583</c:v>
                </c:pt>
                <c:pt idx="123">
                  <c:v>42584</c:v>
                </c:pt>
                <c:pt idx="124">
                  <c:v>42585</c:v>
                </c:pt>
                <c:pt idx="125">
                  <c:v>42586</c:v>
                </c:pt>
                <c:pt idx="126">
                  <c:v>42587</c:v>
                </c:pt>
                <c:pt idx="127">
                  <c:v>42588</c:v>
                </c:pt>
                <c:pt idx="128">
                  <c:v>42589</c:v>
                </c:pt>
                <c:pt idx="129">
                  <c:v>42590</c:v>
                </c:pt>
                <c:pt idx="130">
                  <c:v>42591</c:v>
                </c:pt>
                <c:pt idx="131">
                  <c:v>42592</c:v>
                </c:pt>
                <c:pt idx="132">
                  <c:v>42593</c:v>
                </c:pt>
                <c:pt idx="133">
                  <c:v>42594</c:v>
                </c:pt>
                <c:pt idx="134">
                  <c:v>42595</c:v>
                </c:pt>
                <c:pt idx="135">
                  <c:v>42596</c:v>
                </c:pt>
                <c:pt idx="136">
                  <c:v>42597</c:v>
                </c:pt>
                <c:pt idx="137">
                  <c:v>42598</c:v>
                </c:pt>
                <c:pt idx="138">
                  <c:v>42599</c:v>
                </c:pt>
                <c:pt idx="139">
                  <c:v>42600</c:v>
                </c:pt>
                <c:pt idx="140">
                  <c:v>42601</c:v>
                </c:pt>
                <c:pt idx="141">
                  <c:v>42602</c:v>
                </c:pt>
                <c:pt idx="142">
                  <c:v>42603</c:v>
                </c:pt>
                <c:pt idx="143">
                  <c:v>42604</c:v>
                </c:pt>
                <c:pt idx="144">
                  <c:v>42605</c:v>
                </c:pt>
                <c:pt idx="145">
                  <c:v>42606</c:v>
                </c:pt>
                <c:pt idx="146">
                  <c:v>42607</c:v>
                </c:pt>
                <c:pt idx="147">
                  <c:v>42608</c:v>
                </c:pt>
                <c:pt idx="148">
                  <c:v>42609</c:v>
                </c:pt>
                <c:pt idx="149">
                  <c:v>42610</c:v>
                </c:pt>
                <c:pt idx="150">
                  <c:v>42611</c:v>
                </c:pt>
                <c:pt idx="151">
                  <c:v>42612</c:v>
                </c:pt>
                <c:pt idx="152">
                  <c:v>42613</c:v>
                </c:pt>
                <c:pt idx="153">
                  <c:v>42614</c:v>
                </c:pt>
                <c:pt idx="154">
                  <c:v>42615</c:v>
                </c:pt>
                <c:pt idx="155">
                  <c:v>42616</c:v>
                </c:pt>
                <c:pt idx="156">
                  <c:v>42617</c:v>
                </c:pt>
                <c:pt idx="157">
                  <c:v>42618</c:v>
                </c:pt>
                <c:pt idx="158">
                  <c:v>42619</c:v>
                </c:pt>
                <c:pt idx="159">
                  <c:v>42620</c:v>
                </c:pt>
                <c:pt idx="160">
                  <c:v>42621</c:v>
                </c:pt>
                <c:pt idx="161">
                  <c:v>42622</c:v>
                </c:pt>
                <c:pt idx="162">
                  <c:v>42623</c:v>
                </c:pt>
                <c:pt idx="163">
                  <c:v>42624</c:v>
                </c:pt>
                <c:pt idx="164">
                  <c:v>42625</c:v>
                </c:pt>
                <c:pt idx="165">
                  <c:v>42626</c:v>
                </c:pt>
                <c:pt idx="166">
                  <c:v>42627</c:v>
                </c:pt>
                <c:pt idx="167">
                  <c:v>42628</c:v>
                </c:pt>
                <c:pt idx="168">
                  <c:v>42629</c:v>
                </c:pt>
                <c:pt idx="169">
                  <c:v>42630</c:v>
                </c:pt>
                <c:pt idx="170">
                  <c:v>42631</c:v>
                </c:pt>
                <c:pt idx="171">
                  <c:v>42632</c:v>
                </c:pt>
                <c:pt idx="172">
                  <c:v>42633</c:v>
                </c:pt>
                <c:pt idx="173">
                  <c:v>42634</c:v>
                </c:pt>
                <c:pt idx="174">
                  <c:v>42635</c:v>
                </c:pt>
                <c:pt idx="175">
                  <c:v>42636</c:v>
                </c:pt>
                <c:pt idx="176">
                  <c:v>42637</c:v>
                </c:pt>
                <c:pt idx="177">
                  <c:v>42638</c:v>
                </c:pt>
                <c:pt idx="178">
                  <c:v>42639</c:v>
                </c:pt>
                <c:pt idx="179">
                  <c:v>42640</c:v>
                </c:pt>
                <c:pt idx="180">
                  <c:v>42641</c:v>
                </c:pt>
                <c:pt idx="181">
                  <c:v>42642</c:v>
                </c:pt>
                <c:pt idx="182">
                  <c:v>42643</c:v>
                </c:pt>
                <c:pt idx="183">
                  <c:v>42644</c:v>
                </c:pt>
                <c:pt idx="184">
                  <c:v>42645</c:v>
                </c:pt>
                <c:pt idx="185">
                  <c:v>42646</c:v>
                </c:pt>
                <c:pt idx="186">
                  <c:v>42647</c:v>
                </c:pt>
                <c:pt idx="187">
                  <c:v>42648</c:v>
                </c:pt>
                <c:pt idx="188">
                  <c:v>42649</c:v>
                </c:pt>
                <c:pt idx="189">
                  <c:v>42650</c:v>
                </c:pt>
                <c:pt idx="190">
                  <c:v>42651</c:v>
                </c:pt>
                <c:pt idx="191">
                  <c:v>42652</c:v>
                </c:pt>
                <c:pt idx="192">
                  <c:v>42653</c:v>
                </c:pt>
                <c:pt idx="193">
                  <c:v>42654</c:v>
                </c:pt>
                <c:pt idx="194">
                  <c:v>42655</c:v>
                </c:pt>
                <c:pt idx="195">
                  <c:v>42656</c:v>
                </c:pt>
                <c:pt idx="196">
                  <c:v>42657</c:v>
                </c:pt>
                <c:pt idx="197">
                  <c:v>42658</c:v>
                </c:pt>
                <c:pt idx="198">
                  <c:v>42659</c:v>
                </c:pt>
                <c:pt idx="199">
                  <c:v>42660</c:v>
                </c:pt>
                <c:pt idx="200">
                  <c:v>42661</c:v>
                </c:pt>
                <c:pt idx="201">
                  <c:v>42662</c:v>
                </c:pt>
                <c:pt idx="202">
                  <c:v>42663</c:v>
                </c:pt>
                <c:pt idx="203">
                  <c:v>42664</c:v>
                </c:pt>
                <c:pt idx="204">
                  <c:v>42665</c:v>
                </c:pt>
                <c:pt idx="205">
                  <c:v>42666</c:v>
                </c:pt>
                <c:pt idx="206">
                  <c:v>42667</c:v>
                </c:pt>
                <c:pt idx="207">
                  <c:v>42668</c:v>
                </c:pt>
                <c:pt idx="208">
                  <c:v>42669</c:v>
                </c:pt>
                <c:pt idx="209">
                  <c:v>42670</c:v>
                </c:pt>
                <c:pt idx="210">
                  <c:v>42671</c:v>
                </c:pt>
                <c:pt idx="211">
                  <c:v>42672</c:v>
                </c:pt>
                <c:pt idx="212">
                  <c:v>42673</c:v>
                </c:pt>
                <c:pt idx="213">
                  <c:v>42674</c:v>
                </c:pt>
                <c:pt idx="214">
                  <c:v>42675</c:v>
                </c:pt>
                <c:pt idx="215">
                  <c:v>42676</c:v>
                </c:pt>
                <c:pt idx="216">
                  <c:v>42677</c:v>
                </c:pt>
                <c:pt idx="217">
                  <c:v>42678</c:v>
                </c:pt>
                <c:pt idx="218">
                  <c:v>42679</c:v>
                </c:pt>
                <c:pt idx="219">
                  <c:v>42680</c:v>
                </c:pt>
                <c:pt idx="220">
                  <c:v>42681</c:v>
                </c:pt>
                <c:pt idx="221">
                  <c:v>42682</c:v>
                </c:pt>
                <c:pt idx="222">
                  <c:v>42683</c:v>
                </c:pt>
                <c:pt idx="223">
                  <c:v>42684</c:v>
                </c:pt>
                <c:pt idx="224">
                  <c:v>42685</c:v>
                </c:pt>
                <c:pt idx="225">
                  <c:v>42686</c:v>
                </c:pt>
                <c:pt idx="226">
                  <c:v>42687</c:v>
                </c:pt>
                <c:pt idx="227">
                  <c:v>42688</c:v>
                </c:pt>
                <c:pt idx="228">
                  <c:v>42689</c:v>
                </c:pt>
                <c:pt idx="229">
                  <c:v>42690</c:v>
                </c:pt>
                <c:pt idx="230">
                  <c:v>42691</c:v>
                </c:pt>
                <c:pt idx="231">
                  <c:v>42692</c:v>
                </c:pt>
                <c:pt idx="232">
                  <c:v>42693</c:v>
                </c:pt>
                <c:pt idx="233">
                  <c:v>42694</c:v>
                </c:pt>
                <c:pt idx="234">
                  <c:v>42695</c:v>
                </c:pt>
                <c:pt idx="235">
                  <c:v>42696</c:v>
                </c:pt>
                <c:pt idx="236">
                  <c:v>42697</c:v>
                </c:pt>
                <c:pt idx="237">
                  <c:v>42698</c:v>
                </c:pt>
                <c:pt idx="238">
                  <c:v>42699</c:v>
                </c:pt>
                <c:pt idx="239">
                  <c:v>42700</c:v>
                </c:pt>
                <c:pt idx="240">
                  <c:v>42701</c:v>
                </c:pt>
                <c:pt idx="241">
                  <c:v>42702</c:v>
                </c:pt>
                <c:pt idx="242">
                  <c:v>42703</c:v>
                </c:pt>
                <c:pt idx="243">
                  <c:v>42704</c:v>
                </c:pt>
                <c:pt idx="244">
                  <c:v>42705</c:v>
                </c:pt>
                <c:pt idx="245">
                  <c:v>42706</c:v>
                </c:pt>
                <c:pt idx="246">
                  <c:v>42707</c:v>
                </c:pt>
                <c:pt idx="247">
                  <c:v>42708</c:v>
                </c:pt>
                <c:pt idx="248">
                  <c:v>42709</c:v>
                </c:pt>
                <c:pt idx="249">
                  <c:v>42710</c:v>
                </c:pt>
                <c:pt idx="250">
                  <c:v>42711</c:v>
                </c:pt>
                <c:pt idx="251">
                  <c:v>42712</c:v>
                </c:pt>
                <c:pt idx="252">
                  <c:v>42713</c:v>
                </c:pt>
                <c:pt idx="253">
                  <c:v>42714</c:v>
                </c:pt>
                <c:pt idx="254">
                  <c:v>42715</c:v>
                </c:pt>
                <c:pt idx="255">
                  <c:v>42716</c:v>
                </c:pt>
                <c:pt idx="256">
                  <c:v>42717</c:v>
                </c:pt>
                <c:pt idx="257">
                  <c:v>42718</c:v>
                </c:pt>
                <c:pt idx="258">
                  <c:v>42719</c:v>
                </c:pt>
                <c:pt idx="259">
                  <c:v>42720</c:v>
                </c:pt>
                <c:pt idx="260">
                  <c:v>42721</c:v>
                </c:pt>
                <c:pt idx="261">
                  <c:v>42722</c:v>
                </c:pt>
                <c:pt idx="262">
                  <c:v>42723</c:v>
                </c:pt>
                <c:pt idx="263">
                  <c:v>42724</c:v>
                </c:pt>
                <c:pt idx="264">
                  <c:v>42725</c:v>
                </c:pt>
                <c:pt idx="265">
                  <c:v>42726</c:v>
                </c:pt>
                <c:pt idx="266">
                  <c:v>42727</c:v>
                </c:pt>
                <c:pt idx="267">
                  <c:v>42728</c:v>
                </c:pt>
                <c:pt idx="268">
                  <c:v>42729</c:v>
                </c:pt>
                <c:pt idx="269">
                  <c:v>42730</c:v>
                </c:pt>
                <c:pt idx="270">
                  <c:v>42731</c:v>
                </c:pt>
                <c:pt idx="271">
                  <c:v>42732</c:v>
                </c:pt>
                <c:pt idx="272">
                  <c:v>42733</c:v>
                </c:pt>
                <c:pt idx="273">
                  <c:v>42734</c:v>
                </c:pt>
                <c:pt idx="274">
                  <c:v>42735</c:v>
                </c:pt>
                <c:pt idx="275">
                  <c:v>42736</c:v>
                </c:pt>
                <c:pt idx="276">
                  <c:v>42737</c:v>
                </c:pt>
                <c:pt idx="277">
                  <c:v>42738</c:v>
                </c:pt>
                <c:pt idx="278">
                  <c:v>42739</c:v>
                </c:pt>
                <c:pt idx="279">
                  <c:v>42740</c:v>
                </c:pt>
                <c:pt idx="280">
                  <c:v>42741</c:v>
                </c:pt>
                <c:pt idx="281">
                  <c:v>42742</c:v>
                </c:pt>
                <c:pt idx="282">
                  <c:v>42743</c:v>
                </c:pt>
                <c:pt idx="283">
                  <c:v>42744</c:v>
                </c:pt>
                <c:pt idx="284">
                  <c:v>42745</c:v>
                </c:pt>
                <c:pt idx="285">
                  <c:v>42746</c:v>
                </c:pt>
                <c:pt idx="286">
                  <c:v>42747</c:v>
                </c:pt>
                <c:pt idx="287">
                  <c:v>42748</c:v>
                </c:pt>
                <c:pt idx="288">
                  <c:v>42749</c:v>
                </c:pt>
                <c:pt idx="289">
                  <c:v>42750</c:v>
                </c:pt>
                <c:pt idx="290">
                  <c:v>42751</c:v>
                </c:pt>
                <c:pt idx="291">
                  <c:v>42752</c:v>
                </c:pt>
                <c:pt idx="292">
                  <c:v>42753</c:v>
                </c:pt>
                <c:pt idx="293">
                  <c:v>42754</c:v>
                </c:pt>
                <c:pt idx="294">
                  <c:v>42755</c:v>
                </c:pt>
                <c:pt idx="295">
                  <c:v>42756</c:v>
                </c:pt>
                <c:pt idx="296">
                  <c:v>42757</c:v>
                </c:pt>
                <c:pt idx="297">
                  <c:v>42758</c:v>
                </c:pt>
                <c:pt idx="298">
                  <c:v>42759</c:v>
                </c:pt>
                <c:pt idx="299">
                  <c:v>42760</c:v>
                </c:pt>
                <c:pt idx="300">
                  <c:v>42761</c:v>
                </c:pt>
                <c:pt idx="301">
                  <c:v>42762</c:v>
                </c:pt>
                <c:pt idx="302">
                  <c:v>42763</c:v>
                </c:pt>
                <c:pt idx="303">
                  <c:v>42764</c:v>
                </c:pt>
                <c:pt idx="304">
                  <c:v>42765</c:v>
                </c:pt>
                <c:pt idx="305">
                  <c:v>42766</c:v>
                </c:pt>
                <c:pt idx="306">
                  <c:v>42767</c:v>
                </c:pt>
                <c:pt idx="307">
                  <c:v>42768</c:v>
                </c:pt>
                <c:pt idx="308">
                  <c:v>42769</c:v>
                </c:pt>
                <c:pt idx="309">
                  <c:v>42770</c:v>
                </c:pt>
                <c:pt idx="310">
                  <c:v>42771</c:v>
                </c:pt>
                <c:pt idx="311">
                  <c:v>42772</c:v>
                </c:pt>
                <c:pt idx="312">
                  <c:v>42773</c:v>
                </c:pt>
                <c:pt idx="313">
                  <c:v>42774</c:v>
                </c:pt>
                <c:pt idx="314">
                  <c:v>42775</c:v>
                </c:pt>
                <c:pt idx="315">
                  <c:v>42776</c:v>
                </c:pt>
                <c:pt idx="316">
                  <c:v>42777</c:v>
                </c:pt>
                <c:pt idx="317">
                  <c:v>42778</c:v>
                </c:pt>
                <c:pt idx="318">
                  <c:v>42779</c:v>
                </c:pt>
                <c:pt idx="319">
                  <c:v>42780</c:v>
                </c:pt>
                <c:pt idx="320">
                  <c:v>42781</c:v>
                </c:pt>
                <c:pt idx="321">
                  <c:v>42782</c:v>
                </c:pt>
                <c:pt idx="322">
                  <c:v>42783</c:v>
                </c:pt>
                <c:pt idx="323">
                  <c:v>42784</c:v>
                </c:pt>
                <c:pt idx="324">
                  <c:v>42785</c:v>
                </c:pt>
                <c:pt idx="325">
                  <c:v>42786</c:v>
                </c:pt>
                <c:pt idx="326">
                  <c:v>42787</c:v>
                </c:pt>
                <c:pt idx="327">
                  <c:v>42788</c:v>
                </c:pt>
                <c:pt idx="328">
                  <c:v>42789</c:v>
                </c:pt>
                <c:pt idx="329">
                  <c:v>42790</c:v>
                </c:pt>
                <c:pt idx="330">
                  <c:v>42791</c:v>
                </c:pt>
                <c:pt idx="331">
                  <c:v>42792</c:v>
                </c:pt>
                <c:pt idx="332">
                  <c:v>42793</c:v>
                </c:pt>
                <c:pt idx="333">
                  <c:v>42794</c:v>
                </c:pt>
                <c:pt idx="334">
                  <c:v>42795</c:v>
                </c:pt>
                <c:pt idx="335">
                  <c:v>42796</c:v>
                </c:pt>
                <c:pt idx="336">
                  <c:v>42797</c:v>
                </c:pt>
                <c:pt idx="337">
                  <c:v>42798</c:v>
                </c:pt>
                <c:pt idx="338">
                  <c:v>42799</c:v>
                </c:pt>
                <c:pt idx="339">
                  <c:v>42800</c:v>
                </c:pt>
                <c:pt idx="340">
                  <c:v>42801</c:v>
                </c:pt>
                <c:pt idx="341">
                  <c:v>42802</c:v>
                </c:pt>
                <c:pt idx="342">
                  <c:v>42803</c:v>
                </c:pt>
                <c:pt idx="343">
                  <c:v>42804</c:v>
                </c:pt>
                <c:pt idx="344">
                  <c:v>42805</c:v>
                </c:pt>
                <c:pt idx="345">
                  <c:v>42806</c:v>
                </c:pt>
                <c:pt idx="346">
                  <c:v>42807</c:v>
                </c:pt>
                <c:pt idx="347">
                  <c:v>42808</c:v>
                </c:pt>
                <c:pt idx="348">
                  <c:v>42809</c:v>
                </c:pt>
                <c:pt idx="349">
                  <c:v>42810</c:v>
                </c:pt>
                <c:pt idx="350">
                  <c:v>42811</c:v>
                </c:pt>
                <c:pt idx="351">
                  <c:v>42812</c:v>
                </c:pt>
                <c:pt idx="352">
                  <c:v>42813</c:v>
                </c:pt>
                <c:pt idx="353">
                  <c:v>42814</c:v>
                </c:pt>
                <c:pt idx="354">
                  <c:v>42815</c:v>
                </c:pt>
                <c:pt idx="355">
                  <c:v>42816</c:v>
                </c:pt>
                <c:pt idx="356">
                  <c:v>42817</c:v>
                </c:pt>
                <c:pt idx="357">
                  <c:v>42818</c:v>
                </c:pt>
                <c:pt idx="358">
                  <c:v>42819</c:v>
                </c:pt>
                <c:pt idx="359">
                  <c:v>42820</c:v>
                </c:pt>
                <c:pt idx="360">
                  <c:v>42821</c:v>
                </c:pt>
                <c:pt idx="361">
                  <c:v>42822</c:v>
                </c:pt>
                <c:pt idx="362">
                  <c:v>42823</c:v>
                </c:pt>
                <c:pt idx="363">
                  <c:v>42824</c:v>
                </c:pt>
                <c:pt idx="364">
                  <c:v>42825</c:v>
                </c:pt>
                <c:pt idx="365">
                  <c:v>42826</c:v>
                </c:pt>
              </c:numCache>
            </c:numRef>
          </c:cat>
          <c:val>
            <c:numRef>
              <c:f>Data!$B$2:$B$367</c:f>
              <c:numCache>
                <c:formatCode>_-* #,##0_-;\-* #,##0_-;_-* "-"??_-;_-@_-</c:formatCode>
                <c:ptCount val="366"/>
                <c:pt idx="0">
                  <c:v>1190000000</c:v>
                </c:pt>
                <c:pt idx="1">
                  <c:v>1190000000</c:v>
                </c:pt>
                <c:pt idx="2">
                  <c:v>1190000000</c:v>
                </c:pt>
                <c:pt idx="3">
                  <c:v>1190000000</c:v>
                </c:pt>
                <c:pt idx="4">
                  <c:v>1190000000</c:v>
                </c:pt>
                <c:pt idx="5">
                  <c:v>1190000000</c:v>
                </c:pt>
                <c:pt idx="6">
                  <c:v>1190000000</c:v>
                </c:pt>
                <c:pt idx="7">
                  <c:v>1190000000</c:v>
                </c:pt>
                <c:pt idx="8">
                  <c:v>1190000000</c:v>
                </c:pt>
                <c:pt idx="9">
                  <c:v>1190000000</c:v>
                </c:pt>
                <c:pt idx="10">
                  <c:v>1190000000</c:v>
                </c:pt>
                <c:pt idx="11">
                  <c:v>1190000000</c:v>
                </c:pt>
                <c:pt idx="12">
                  <c:v>1190000000</c:v>
                </c:pt>
                <c:pt idx="13">
                  <c:v>1190000000</c:v>
                </c:pt>
                <c:pt idx="14">
                  <c:v>1190000000</c:v>
                </c:pt>
                <c:pt idx="15">
                  <c:v>1190000000</c:v>
                </c:pt>
                <c:pt idx="16">
                  <c:v>1190000000</c:v>
                </c:pt>
                <c:pt idx="17">
                  <c:v>1190000000</c:v>
                </c:pt>
                <c:pt idx="18">
                  <c:v>1190000000</c:v>
                </c:pt>
                <c:pt idx="19">
                  <c:v>1190000000</c:v>
                </c:pt>
                <c:pt idx="20">
                  <c:v>1190000000</c:v>
                </c:pt>
                <c:pt idx="21">
                  <c:v>1190000000</c:v>
                </c:pt>
                <c:pt idx="22">
                  <c:v>1190000000</c:v>
                </c:pt>
                <c:pt idx="23">
                  <c:v>1190000000</c:v>
                </c:pt>
                <c:pt idx="24">
                  <c:v>1190000000</c:v>
                </c:pt>
                <c:pt idx="25">
                  <c:v>1190000000</c:v>
                </c:pt>
                <c:pt idx="26">
                  <c:v>1190000000</c:v>
                </c:pt>
                <c:pt idx="27">
                  <c:v>1190000000</c:v>
                </c:pt>
                <c:pt idx="28">
                  <c:v>1190000000</c:v>
                </c:pt>
                <c:pt idx="29">
                  <c:v>1190000000</c:v>
                </c:pt>
                <c:pt idx="30">
                  <c:v>1190000000</c:v>
                </c:pt>
                <c:pt idx="31">
                  <c:v>1190000000</c:v>
                </c:pt>
                <c:pt idx="32">
                  <c:v>1190000000</c:v>
                </c:pt>
                <c:pt idx="33">
                  <c:v>1190000000</c:v>
                </c:pt>
                <c:pt idx="34">
                  <c:v>1190000000</c:v>
                </c:pt>
                <c:pt idx="35">
                  <c:v>1190000000</c:v>
                </c:pt>
                <c:pt idx="36">
                  <c:v>1190000000</c:v>
                </c:pt>
                <c:pt idx="37">
                  <c:v>1190000000</c:v>
                </c:pt>
                <c:pt idx="38">
                  <c:v>1190000000</c:v>
                </c:pt>
                <c:pt idx="39">
                  <c:v>1190000000</c:v>
                </c:pt>
                <c:pt idx="40">
                  <c:v>1190000000</c:v>
                </c:pt>
                <c:pt idx="41">
                  <c:v>1190000000</c:v>
                </c:pt>
                <c:pt idx="42">
                  <c:v>1190000000</c:v>
                </c:pt>
                <c:pt idx="43">
                  <c:v>1190000000</c:v>
                </c:pt>
                <c:pt idx="44">
                  <c:v>1190000000</c:v>
                </c:pt>
                <c:pt idx="45">
                  <c:v>1190000000</c:v>
                </c:pt>
                <c:pt idx="46">
                  <c:v>1190000000</c:v>
                </c:pt>
                <c:pt idx="47">
                  <c:v>1190000000</c:v>
                </c:pt>
                <c:pt idx="48">
                  <c:v>1190000000</c:v>
                </c:pt>
                <c:pt idx="49">
                  <c:v>1190000000</c:v>
                </c:pt>
                <c:pt idx="50">
                  <c:v>1190000000</c:v>
                </c:pt>
                <c:pt idx="51">
                  <c:v>1190000000</c:v>
                </c:pt>
                <c:pt idx="52">
                  <c:v>1190000000</c:v>
                </c:pt>
                <c:pt idx="53">
                  <c:v>1190000000</c:v>
                </c:pt>
                <c:pt idx="54">
                  <c:v>1190000000</c:v>
                </c:pt>
                <c:pt idx="55">
                  <c:v>1190000000</c:v>
                </c:pt>
                <c:pt idx="56">
                  <c:v>1190000000</c:v>
                </c:pt>
                <c:pt idx="57">
                  <c:v>1190000000</c:v>
                </c:pt>
                <c:pt idx="58">
                  <c:v>1190000000</c:v>
                </c:pt>
                <c:pt idx="59">
                  <c:v>1190000000</c:v>
                </c:pt>
                <c:pt idx="60">
                  <c:v>1190000000</c:v>
                </c:pt>
                <c:pt idx="61">
                  <c:v>1190000000</c:v>
                </c:pt>
                <c:pt idx="62">
                  <c:v>1190000000</c:v>
                </c:pt>
                <c:pt idx="63">
                  <c:v>1190000000</c:v>
                </c:pt>
                <c:pt idx="64">
                  <c:v>1190000000</c:v>
                </c:pt>
                <c:pt idx="65">
                  <c:v>1190000000</c:v>
                </c:pt>
                <c:pt idx="66">
                  <c:v>1190000000</c:v>
                </c:pt>
                <c:pt idx="67">
                  <c:v>1190000000</c:v>
                </c:pt>
                <c:pt idx="68">
                  <c:v>1190000000</c:v>
                </c:pt>
                <c:pt idx="69">
                  <c:v>1190000000</c:v>
                </c:pt>
                <c:pt idx="70">
                  <c:v>1190000000</c:v>
                </c:pt>
                <c:pt idx="71">
                  <c:v>1190000000</c:v>
                </c:pt>
                <c:pt idx="72">
                  <c:v>1190000000</c:v>
                </c:pt>
                <c:pt idx="73">
                  <c:v>1190000000</c:v>
                </c:pt>
                <c:pt idx="74">
                  <c:v>1190000000</c:v>
                </c:pt>
                <c:pt idx="75">
                  <c:v>1190000000</c:v>
                </c:pt>
                <c:pt idx="76">
                  <c:v>1190000000</c:v>
                </c:pt>
                <c:pt idx="77">
                  <c:v>1190000000</c:v>
                </c:pt>
                <c:pt idx="78">
                  <c:v>1190000000</c:v>
                </c:pt>
                <c:pt idx="79">
                  <c:v>1190000000</c:v>
                </c:pt>
                <c:pt idx="80">
                  <c:v>1190000000</c:v>
                </c:pt>
                <c:pt idx="81">
                  <c:v>1190000000</c:v>
                </c:pt>
                <c:pt idx="82">
                  <c:v>1190000000</c:v>
                </c:pt>
                <c:pt idx="83">
                  <c:v>1190000000</c:v>
                </c:pt>
                <c:pt idx="84">
                  <c:v>1190000000</c:v>
                </c:pt>
                <c:pt idx="85">
                  <c:v>1190000000</c:v>
                </c:pt>
                <c:pt idx="86">
                  <c:v>1190000000</c:v>
                </c:pt>
                <c:pt idx="87">
                  <c:v>1190000000</c:v>
                </c:pt>
                <c:pt idx="88">
                  <c:v>1190000000</c:v>
                </c:pt>
                <c:pt idx="89">
                  <c:v>1190000000</c:v>
                </c:pt>
                <c:pt idx="90">
                  <c:v>1190000000</c:v>
                </c:pt>
                <c:pt idx="91">
                  <c:v>1190000000</c:v>
                </c:pt>
                <c:pt idx="92">
                  <c:v>1190000000</c:v>
                </c:pt>
                <c:pt idx="93">
                  <c:v>1190000000</c:v>
                </c:pt>
                <c:pt idx="94">
                  <c:v>1190000000</c:v>
                </c:pt>
                <c:pt idx="95">
                  <c:v>1190000000</c:v>
                </c:pt>
                <c:pt idx="96">
                  <c:v>1190000000</c:v>
                </c:pt>
                <c:pt idx="97">
                  <c:v>1190000000</c:v>
                </c:pt>
                <c:pt idx="98">
                  <c:v>1190000000</c:v>
                </c:pt>
                <c:pt idx="99">
                  <c:v>1190000000</c:v>
                </c:pt>
                <c:pt idx="100">
                  <c:v>1190000000</c:v>
                </c:pt>
                <c:pt idx="101">
                  <c:v>1190000000</c:v>
                </c:pt>
                <c:pt idx="102">
                  <c:v>1190000000</c:v>
                </c:pt>
                <c:pt idx="103">
                  <c:v>1190000000</c:v>
                </c:pt>
                <c:pt idx="104">
                  <c:v>1190000000</c:v>
                </c:pt>
                <c:pt idx="105">
                  <c:v>1190000000</c:v>
                </c:pt>
                <c:pt idx="106">
                  <c:v>1190000000</c:v>
                </c:pt>
                <c:pt idx="107">
                  <c:v>1190000000</c:v>
                </c:pt>
                <c:pt idx="108">
                  <c:v>1190000000</c:v>
                </c:pt>
                <c:pt idx="109">
                  <c:v>1190000000</c:v>
                </c:pt>
                <c:pt idx="110">
                  <c:v>1190000000</c:v>
                </c:pt>
                <c:pt idx="111">
                  <c:v>1190000000</c:v>
                </c:pt>
                <c:pt idx="112">
                  <c:v>1190000000</c:v>
                </c:pt>
                <c:pt idx="113">
                  <c:v>1190000000</c:v>
                </c:pt>
                <c:pt idx="114">
                  <c:v>1190000000</c:v>
                </c:pt>
                <c:pt idx="115">
                  <c:v>1190000000</c:v>
                </c:pt>
                <c:pt idx="116">
                  <c:v>1190000000</c:v>
                </c:pt>
                <c:pt idx="117">
                  <c:v>1190000000</c:v>
                </c:pt>
                <c:pt idx="118">
                  <c:v>1190000000</c:v>
                </c:pt>
                <c:pt idx="119">
                  <c:v>1190000000</c:v>
                </c:pt>
                <c:pt idx="120">
                  <c:v>1190000000</c:v>
                </c:pt>
                <c:pt idx="121">
                  <c:v>1190000000</c:v>
                </c:pt>
                <c:pt idx="122">
                  <c:v>1190000000</c:v>
                </c:pt>
                <c:pt idx="123">
                  <c:v>1190000000</c:v>
                </c:pt>
                <c:pt idx="124">
                  <c:v>1190000000</c:v>
                </c:pt>
                <c:pt idx="125">
                  <c:v>1190000000</c:v>
                </c:pt>
                <c:pt idx="126">
                  <c:v>1190000000</c:v>
                </c:pt>
                <c:pt idx="127">
                  <c:v>1190000000</c:v>
                </c:pt>
                <c:pt idx="128">
                  <c:v>1190000000</c:v>
                </c:pt>
                <c:pt idx="129">
                  <c:v>1190000000</c:v>
                </c:pt>
                <c:pt idx="130">
                  <c:v>1190000000</c:v>
                </c:pt>
                <c:pt idx="131">
                  <c:v>1190000000</c:v>
                </c:pt>
                <c:pt idx="132">
                  <c:v>1190000000</c:v>
                </c:pt>
                <c:pt idx="133">
                  <c:v>1190000000</c:v>
                </c:pt>
                <c:pt idx="134">
                  <c:v>1190000000</c:v>
                </c:pt>
                <c:pt idx="135">
                  <c:v>1190000000</c:v>
                </c:pt>
                <c:pt idx="136">
                  <c:v>1190000000</c:v>
                </c:pt>
                <c:pt idx="137">
                  <c:v>1190000000</c:v>
                </c:pt>
                <c:pt idx="138">
                  <c:v>1190000000</c:v>
                </c:pt>
                <c:pt idx="139">
                  <c:v>1190000000</c:v>
                </c:pt>
                <c:pt idx="140">
                  <c:v>1190000000</c:v>
                </c:pt>
                <c:pt idx="141">
                  <c:v>1190000000</c:v>
                </c:pt>
                <c:pt idx="142">
                  <c:v>1190000000</c:v>
                </c:pt>
                <c:pt idx="143">
                  <c:v>1190000000</c:v>
                </c:pt>
                <c:pt idx="144">
                  <c:v>1190000000</c:v>
                </c:pt>
                <c:pt idx="145">
                  <c:v>1190000000</c:v>
                </c:pt>
                <c:pt idx="146">
                  <c:v>1190000000</c:v>
                </c:pt>
                <c:pt idx="147">
                  <c:v>1190000000</c:v>
                </c:pt>
                <c:pt idx="148">
                  <c:v>1190000000</c:v>
                </c:pt>
                <c:pt idx="149">
                  <c:v>1190000000</c:v>
                </c:pt>
                <c:pt idx="150">
                  <c:v>1190000000</c:v>
                </c:pt>
                <c:pt idx="151">
                  <c:v>1190000000</c:v>
                </c:pt>
                <c:pt idx="152">
                  <c:v>1190000000</c:v>
                </c:pt>
                <c:pt idx="153">
                  <c:v>1190000000</c:v>
                </c:pt>
                <c:pt idx="154">
                  <c:v>1190000000</c:v>
                </c:pt>
                <c:pt idx="155">
                  <c:v>1190000000</c:v>
                </c:pt>
                <c:pt idx="156">
                  <c:v>1190000000</c:v>
                </c:pt>
                <c:pt idx="157">
                  <c:v>1190000000</c:v>
                </c:pt>
                <c:pt idx="158">
                  <c:v>1190000000</c:v>
                </c:pt>
                <c:pt idx="159">
                  <c:v>1190000000</c:v>
                </c:pt>
                <c:pt idx="160">
                  <c:v>1190000000</c:v>
                </c:pt>
                <c:pt idx="161">
                  <c:v>1190000000</c:v>
                </c:pt>
                <c:pt idx="162">
                  <c:v>1190000000</c:v>
                </c:pt>
                <c:pt idx="163">
                  <c:v>1190000000</c:v>
                </c:pt>
                <c:pt idx="164">
                  <c:v>1190000000</c:v>
                </c:pt>
                <c:pt idx="165">
                  <c:v>1190000000</c:v>
                </c:pt>
                <c:pt idx="166">
                  <c:v>1190000000</c:v>
                </c:pt>
                <c:pt idx="167">
                  <c:v>1190000000</c:v>
                </c:pt>
                <c:pt idx="168">
                  <c:v>1190000000</c:v>
                </c:pt>
                <c:pt idx="169">
                  <c:v>1190000000</c:v>
                </c:pt>
                <c:pt idx="170">
                  <c:v>1190000000</c:v>
                </c:pt>
                <c:pt idx="171">
                  <c:v>1190000000</c:v>
                </c:pt>
                <c:pt idx="172">
                  <c:v>1190000000</c:v>
                </c:pt>
                <c:pt idx="173">
                  <c:v>1190000000</c:v>
                </c:pt>
                <c:pt idx="174">
                  <c:v>1190000000</c:v>
                </c:pt>
                <c:pt idx="175">
                  <c:v>1190000000</c:v>
                </c:pt>
                <c:pt idx="176">
                  <c:v>1190000000</c:v>
                </c:pt>
                <c:pt idx="177">
                  <c:v>1190000000</c:v>
                </c:pt>
                <c:pt idx="178">
                  <c:v>1190000000</c:v>
                </c:pt>
                <c:pt idx="179">
                  <c:v>1190000000</c:v>
                </c:pt>
                <c:pt idx="180">
                  <c:v>1190000000</c:v>
                </c:pt>
                <c:pt idx="181">
                  <c:v>1190000000</c:v>
                </c:pt>
                <c:pt idx="182">
                  <c:v>1190000000</c:v>
                </c:pt>
                <c:pt idx="183">
                  <c:v>1190000000</c:v>
                </c:pt>
                <c:pt idx="184">
                  <c:v>1190000000</c:v>
                </c:pt>
                <c:pt idx="185">
                  <c:v>1190000000</c:v>
                </c:pt>
                <c:pt idx="186">
                  <c:v>1190000000</c:v>
                </c:pt>
                <c:pt idx="187">
                  <c:v>1190000000</c:v>
                </c:pt>
                <c:pt idx="188">
                  <c:v>1190000000</c:v>
                </c:pt>
                <c:pt idx="189">
                  <c:v>1190000000</c:v>
                </c:pt>
                <c:pt idx="190">
                  <c:v>1190000000</c:v>
                </c:pt>
                <c:pt idx="191">
                  <c:v>1190000000</c:v>
                </c:pt>
                <c:pt idx="192">
                  <c:v>1190000000</c:v>
                </c:pt>
                <c:pt idx="193">
                  <c:v>1190000000</c:v>
                </c:pt>
                <c:pt idx="194">
                  <c:v>1190000000</c:v>
                </c:pt>
                <c:pt idx="195">
                  <c:v>1190000000</c:v>
                </c:pt>
                <c:pt idx="196">
                  <c:v>1190000000</c:v>
                </c:pt>
                <c:pt idx="197">
                  <c:v>1190000000</c:v>
                </c:pt>
                <c:pt idx="198">
                  <c:v>1190000000</c:v>
                </c:pt>
                <c:pt idx="199">
                  <c:v>1190000000</c:v>
                </c:pt>
                <c:pt idx="200">
                  <c:v>1190000000</c:v>
                </c:pt>
                <c:pt idx="201">
                  <c:v>1190000000</c:v>
                </c:pt>
                <c:pt idx="202">
                  <c:v>1190000000</c:v>
                </c:pt>
                <c:pt idx="203">
                  <c:v>1190000000</c:v>
                </c:pt>
                <c:pt idx="204">
                  <c:v>1190000000</c:v>
                </c:pt>
                <c:pt idx="205">
                  <c:v>1190000000</c:v>
                </c:pt>
                <c:pt idx="206">
                  <c:v>1190000000</c:v>
                </c:pt>
                <c:pt idx="207">
                  <c:v>1190000000</c:v>
                </c:pt>
                <c:pt idx="208">
                  <c:v>1190000000</c:v>
                </c:pt>
                <c:pt idx="209">
                  <c:v>1190000000</c:v>
                </c:pt>
                <c:pt idx="210">
                  <c:v>1190000000</c:v>
                </c:pt>
                <c:pt idx="211">
                  <c:v>1190000000</c:v>
                </c:pt>
                <c:pt idx="212">
                  <c:v>1190000000</c:v>
                </c:pt>
                <c:pt idx="213">
                  <c:v>1190000000</c:v>
                </c:pt>
                <c:pt idx="214">
                  <c:v>1190000000</c:v>
                </c:pt>
                <c:pt idx="215">
                  <c:v>1190000000</c:v>
                </c:pt>
                <c:pt idx="216">
                  <c:v>1190000000</c:v>
                </c:pt>
                <c:pt idx="217">
                  <c:v>1190000000</c:v>
                </c:pt>
                <c:pt idx="218">
                  <c:v>1190000000</c:v>
                </c:pt>
                <c:pt idx="219">
                  <c:v>1190000000</c:v>
                </c:pt>
                <c:pt idx="220">
                  <c:v>1190000000</c:v>
                </c:pt>
                <c:pt idx="221">
                  <c:v>1190000000</c:v>
                </c:pt>
                <c:pt idx="222">
                  <c:v>1190000000</c:v>
                </c:pt>
                <c:pt idx="223">
                  <c:v>1190000000</c:v>
                </c:pt>
                <c:pt idx="224">
                  <c:v>1190000000</c:v>
                </c:pt>
                <c:pt idx="225">
                  <c:v>1190000000</c:v>
                </c:pt>
                <c:pt idx="226">
                  <c:v>1190000000</c:v>
                </c:pt>
                <c:pt idx="227">
                  <c:v>1190000000</c:v>
                </c:pt>
                <c:pt idx="228">
                  <c:v>1190000000</c:v>
                </c:pt>
                <c:pt idx="229">
                  <c:v>1190000000</c:v>
                </c:pt>
                <c:pt idx="230">
                  <c:v>1190000000</c:v>
                </c:pt>
                <c:pt idx="231">
                  <c:v>1190000000</c:v>
                </c:pt>
                <c:pt idx="232">
                  <c:v>1190000000</c:v>
                </c:pt>
                <c:pt idx="233">
                  <c:v>1190000000</c:v>
                </c:pt>
                <c:pt idx="234">
                  <c:v>1190000000</c:v>
                </c:pt>
                <c:pt idx="235">
                  <c:v>1190000000</c:v>
                </c:pt>
                <c:pt idx="236">
                  <c:v>1190000000</c:v>
                </c:pt>
                <c:pt idx="237">
                  <c:v>1190000000</c:v>
                </c:pt>
                <c:pt idx="238">
                  <c:v>1190000000</c:v>
                </c:pt>
                <c:pt idx="239">
                  <c:v>1190000000</c:v>
                </c:pt>
                <c:pt idx="240">
                  <c:v>1190000000</c:v>
                </c:pt>
                <c:pt idx="241">
                  <c:v>1190000000</c:v>
                </c:pt>
                <c:pt idx="242">
                  <c:v>1190000000</c:v>
                </c:pt>
                <c:pt idx="243">
                  <c:v>1190000000</c:v>
                </c:pt>
                <c:pt idx="244">
                  <c:v>1190000000</c:v>
                </c:pt>
                <c:pt idx="245">
                  <c:v>1190000000</c:v>
                </c:pt>
                <c:pt idx="246">
                  <c:v>1190000000</c:v>
                </c:pt>
                <c:pt idx="247">
                  <c:v>1190000000</c:v>
                </c:pt>
                <c:pt idx="248">
                  <c:v>1190000000</c:v>
                </c:pt>
                <c:pt idx="249">
                  <c:v>1190000000</c:v>
                </c:pt>
                <c:pt idx="250">
                  <c:v>1190000000</c:v>
                </c:pt>
                <c:pt idx="251">
                  <c:v>1190000000</c:v>
                </c:pt>
                <c:pt idx="252">
                  <c:v>1190000000</c:v>
                </c:pt>
                <c:pt idx="253">
                  <c:v>1190000000</c:v>
                </c:pt>
                <c:pt idx="254">
                  <c:v>1190000000</c:v>
                </c:pt>
                <c:pt idx="255">
                  <c:v>1190000000</c:v>
                </c:pt>
                <c:pt idx="256">
                  <c:v>1190000000</c:v>
                </c:pt>
                <c:pt idx="257">
                  <c:v>1190000000</c:v>
                </c:pt>
                <c:pt idx="258">
                  <c:v>1190000000</c:v>
                </c:pt>
                <c:pt idx="259">
                  <c:v>1190000000</c:v>
                </c:pt>
                <c:pt idx="260">
                  <c:v>1190000000</c:v>
                </c:pt>
                <c:pt idx="261">
                  <c:v>1190000000</c:v>
                </c:pt>
                <c:pt idx="262">
                  <c:v>1190000000</c:v>
                </c:pt>
                <c:pt idx="263">
                  <c:v>1190000000</c:v>
                </c:pt>
                <c:pt idx="264">
                  <c:v>1190000000</c:v>
                </c:pt>
                <c:pt idx="265">
                  <c:v>1190000000</c:v>
                </c:pt>
                <c:pt idx="266">
                  <c:v>1190000000</c:v>
                </c:pt>
                <c:pt idx="267">
                  <c:v>1190000000</c:v>
                </c:pt>
                <c:pt idx="268">
                  <c:v>1190000000</c:v>
                </c:pt>
                <c:pt idx="269">
                  <c:v>1190000000</c:v>
                </c:pt>
                <c:pt idx="270">
                  <c:v>1190000000</c:v>
                </c:pt>
                <c:pt idx="271">
                  <c:v>1190000000</c:v>
                </c:pt>
                <c:pt idx="272">
                  <c:v>1190000000</c:v>
                </c:pt>
                <c:pt idx="273">
                  <c:v>1190000000</c:v>
                </c:pt>
                <c:pt idx="274">
                  <c:v>1190000000</c:v>
                </c:pt>
                <c:pt idx="275">
                  <c:v>1190000000</c:v>
                </c:pt>
                <c:pt idx="276">
                  <c:v>1190000000</c:v>
                </c:pt>
                <c:pt idx="277">
                  <c:v>1190000000</c:v>
                </c:pt>
                <c:pt idx="278">
                  <c:v>1190000000</c:v>
                </c:pt>
                <c:pt idx="279">
                  <c:v>1190000000</c:v>
                </c:pt>
                <c:pt idx="280">
                  <c:v>1190000000</c:v>
                </c:pt>
                <c:pt idx="281">
                  <c:v>1190000000</c:v>
                </c:pt>
                <c:pt idx="282">
                  <c:v>1190000000</c:v>
                </c:pt>
                <c:pt idx="283">
                  <c:v>1190000000</c:v>
                </c:pt>
                <c:pt idx="284">
                  <c:v>1190000000</c:v>
                </c:pt>
                <c:pt idx="285">
                  <c:v>1190000000</c:v>
                </c:pt>
                <c:pt idx="286">
                  <c:v>1190000000</c:v>
                </c:pt>
                <c:pt idx="287">
                  <c:v>1190000000</c:v>
                </c:pt>
                <c:pt idx="288">
                  <c:v>1190000000</c:v>
                </c:pt>
                <c:pt idx="289">
                  <c:v>1190000000</c:v>
                </c:pt>
                <c:pt idx="290">
                  <c:v>1190000000</c:v>
                </c:pt>
                <c:pt idx="291">
                  <c:v>1190000000</c:v>
                </c:pt>
                <c:pt idx="292">
                  <c:v>1190000000</c:v>
                </c:pt>
                <c:pt idx="293">
                  <c:v>1190000000</c:v>
                </c:pt>
                <c:pt idx="294">
                  <c:v>1190000000</c:v>
                </c:pt>
                <c:pt idx="295">
                  <c:v>1190000000</c:v>
                </c:pt>
                <c:pt idx="296">
                  <c:v>1190000000</c:v>
                </c:pt>
                <c:pt idx="297">
                  <c:v>1190000000</c:v>
                </c:pt>
                <c:pt idx="298">
                  <c:v>1190000000</c:v>
                </c:pt>
                <c:pt idx="299">
                  <c:v>1190000000</c:v>
                </c:pt>
                <c:pt idx="300">
                  <c:v>1190000000</c:v>
                </c:pt>
                <c:pt idx="301">
                  <c:v>1190000000</c:v>
                </c:pt>
                <c:pt idx="302">
                  <c:v>1190000000</c:v>
                </c:pt>
                <c:pt idx="303">
                  <c:v>1190000000</c:v>
                </c:pt>
                <c:pt idx="304">
                  <c:v>1190000000</c:v>
                </c:pt>
                <c:pt idx="305">
                  <c:v>1190000000</c:v>
                </c:pt>
                <c:pt idx="306">
                  <c:v>1190000000</c:v>
                </c:pt>
                <c:pt idx="307">
                  <c:v>1190000000</c:v>
                </c:pt>
                <c:pt idx="308">
                  <c:v>1190000000</c:v>
                </c:pt>
                <c:pt idx="309">
                  <c:v>1190000000</c:v>
                </c:pt>
                <c:pt idx="310">
                  <c:v>1190000000</c:v>
                </c:pt>
                <c:pt idx="311">
                  <c:v>1190000000</c:v>
                </c:pt>
                <c:pt idx="312">
                  <c:v>1190000000</c:v>
                </c:pt>
                <c:pt idx="313">
                  <c:v>1190000000</c:v>
                </c:pt>
                <c:pt idx="314">
                  <c:v>1190000000</c:v>
                </c:pt>
                <c:pt idx="315">
                  <c:v>1190000000</c:v>
                </c:pt>
                <c:pt idx="316">
                  <c:v>1190000000</c:v>
                </c:pt>
                <c:pt idx="317">
                  <c:v>1190000000</c:v>
                </c:pt>
                <c:pt idx="318">
                  <c:v>1190000000</c:v>
                </c:pt>
                <c:pt idx="319">
                  <c:v>1190000000</c:v>
                </c:pt>
                <c:pt idx="320">
                  <c:v>1190000000</c:v>
                </c:pt>
                <c:pt idx="321">
                  <c:v>1190000000</c:v>
                </c:pt>
                <c:pt idx="322">
                  <c:v>1190000000</c:v>
                </c:pt>
                <c:pt idx="323">
                  <c:v>1190000000</c:v>
                </c:pt>
                <c:pt idx="324">
                  <c:v>1190000000</c:v>
                </c:pt>
                <c:pt idx="325">
                  <c:v>1190000000</c:v>
                </c:pt>
                <c:pt idx="326">
                  <c:v>1190000000</c:v>
                </c:pt>
                <c:pt idx="327">
                  <c:v>1190000000</c:v>
                </c:pt>
                <c:pt idx="328">
                  <c:v>1190000000</c:v>
                </c:pt>
                <c:pt idx="329">
                  <c:v>1190000000</c:v>
                </c:pt>
                <c:pt idx="330">
                  <c:v>1190000000</c:v>
                </c:pt>
                <c:pt idx="331">
                  <c:v>1190000000</c:v>
                </c:pt>
                <c:pt idx="332">
                  <c:v>1190000000</c:v>
                </c:pt>
                <c:pt idx="333">
                  <c:v>1190000000</c:v>
                </c:pt>
                <c:pt idx="334">
                  <c:v>1190000000</c:v>
                </c:pt>
                <c:pt idx="335">
                  <c:v>1190000000</c:v>
                </c:pt>
                <c:pt idx="336">
                  <c:v>1190000000</c:v>
                </c:pt>
                <c:pt idx="337">
                  <c:v>1190000000</c:v>
                </c:pt>
                <c:pt idx="338">
                  <c:v>1190000000</c:v>
                </c:pt>
                <c:pt idx="339">
                  <c:v>1190000000</c:v>
                </c:pt>
                <c:pt idx="340">
                  <c:v>1190000000</c:v>
                </c:pt>
                <c:pt idx="341">
                  <c:v>1190000000</c:v>
                </c:pt>
                <c:pt idx="342">
                  <c:v>1190000000</c:v>
                </c:pt>
                <c:pt idx="343">
                  <c:v>1190000000</c:v>
                </c:pt>
                <c:pt idx="344">
                  <c:v>1190000000</c:v>
                </c:pt>
                <c:pt idx="345">
                  <c:v>1190000000</c:v>
                </c:pt>
                <c:pt idx="346">
                  <c:v>1190000000</c:v>
                </c:pt>
                <c:pt idx="347">
                  <c:v>1190000000</c:v>
                </c:pt>
                <c:pt idx="348">
                  <c:v>1190000000</c:v>
                </c:pt>
                <c:pt idx="349">
                  <c:v>1190000000</c:v>
                </c:pt>
                <c:pt idx="350">
                  <c:v>1190000000</c:v>
                </c:pt>
                <c:pt idx="351">
                  <c:v>1190000000</c:v>
                </c:pt>
                <c:pt idx="352">
                  <c:v>1190000000</c:v>
                </c:pt>
                <c:pt idx="353">
                  <c:v>1190000000</c:v>
                </c:pt>
                <c:pt idx="354">
                  <c:v>1190000000</c:v>
                </c:pt>
                <c:pt idx="355">
                  <c:v>1190000000</c:v>
                </c:pt>
                <c:pt idx="356">
                  <c:v>1190000000</c:v>
                </c:pt>
                <c:pt idx="357">
                  <c:v>1190000000</c:v>
                </c:pt>
                <c:pt idx="358">
                  <c:v>1190000000</c:v>
                </c:pt>
                <c:pt idx="359">
                  <c:v>1190000000</c:v>
                </c:pt>
                <c:pt idx="360">
                  <c:v>1190000000</c:v>
                </c:pt>
                <c:pt idx="361">
                  <c:v>1190000000</c:v>
                </c:pt>
                <c:pt idx="362">
                  <c:v>1190000000</c:v>
                </c:pt>
                <c:pt idx="363">
                  <c:v>1190000000</c:v>
                </c:pt>
                <c:pt idx="364">
                  <c:v>1190000000</c:v>
                </c:pt>
                <c:pt idx="365">
                  <c:v>1190000000</c:v>
                </c:pt>
              </c:numCache>
            </c:numRef>
          </c:val>
          <c:smooth val="0"/>
        </c:ser>
        <c:ser>
          <c:idx val="3"/>
          <c:order val="2"/>
          <c:tx>
            <c:v>Total Debt (inc PFI)</c:v>
          </c:tx>
          <c:spPr>
            <a:ln>
              <a:prstDash val="sysDash"/>
            </a:ln>
          </c:spPr>
          <c:marker>
            <c:symbol val="none"/>
          </c:marker>
          <c:cat>
            <c:numRef>
              <c:f>Data!$A$2:$A$367</c:f>
              <c:numCache>
                <c:formatCode>dd/mm/yy;@</c:formatCode>
                <c:ptCount val="366"/>
                <c:pt idx="0">
                  <c:v>42461</c:v>
                </c:pt>
                <c:pt idx="1">
                  <c:v>42462</c:v>
                </c:pt>
                <c:pt idx="2">
                  <c:v>42463</c:v>
                </c:pt>
                <c:pt idx="3">
                  <c:v>42464</c:v>
                </c:pt>
                <c:pt idx="4">
                  <c:v>42465</c:v>
                </c:pt>
                <c:pt idx="5">
                  <c:v>42466</c:v>
                </c:pt>
                <c:pt idx="6">
                  <c:v>42467</c:v>
                </c:pt>
                <c:pt idx="7">
                  <c:v>42468</c:v>
                </c:pt>
                <c:pt idx="8">
                  <c:v>42469</c:v>
                </c:pt>
                <c:pt idx="9">
                  <c:v>42470</c:v>
                </c:pt>
                <c:pt idx="10">
                  <c:v>42471</c:v>
                </c:pt>
                <c:pt idx="11">
                  <c:v>42472</c:v>
                </c:pt>
                <c:pt idx="12">
                  <c:v>42473</c:v>
                </c:pt>
                <c:pt idx="13">
                  <c:v>42474</c:v>
                </c:pt>
                <c:pt idx="14">
                  <c:v>42475</c:v>
                </c:pt>
                <c:pt idx="15">
                  <c:v>42476</c:v>
                </c:pt>
                <c:pt idx="16">
                  <c:v>42477</c:v>
                </c:pt>
                <c:pt idx="17">
                  <c:v>42478</c:v>
                </c:pt>
                <c:pt idx="18">
                  <c:v>42479</c:v>
                </c:pt>
                <c:pt idx="19">
                  <c:v>42480</c:v>
                </c:pt>
                <c:pt idx="20">
                  <c:v>42481</c:v>
                </c:pt>
                <c:pt idx="21">
                  <c:v>42482</c:v>
                </c:pt>
                <c:pt idx="22">
                  <c:v>42483</c:v>
                </c:pt>
                <c:pt idx="23">
                  <c:v>42484</c:v>
                </c:pt>
                <c:pt idx="24">
                  <c:v>42485</c:v>
                </c:pt>
                <c:pt idx="25">
                  <c:v>42486</c:v>
                </c:pt>
                <c:pt idx="26">
                  <c:v>42487</c:v>
                </c:pt>
                <c:pt idx="27">
                  <c:v>42488</c:v>
                </c:pt>
                <c:pt idx="28">
                  <c:v>42489</c:v>
                </c:pt>
                <c:pt idx="29">
                  <c:v>42490</c:v>
                </c:pt>
                <c:pt idx="30">
                  <c:v>42491</c:v>
                </c:pt>
                <c:pt idx="31">
                  <c:v>42492</c:v>
                </c:pt>
                <c:pt idx="32">
                  <c:v>42493</c:v>
                </c:pt>
                <c:pt idx="33">
                  <c:v>42494</c:v>
                </c:pt>
                <c:pt idx="34">
                  <c:v>42495</c:v>
                </c:pt>
                <c:pt idx="35">
                  <c:v>42496</c:v>
                </c:pt>
                <c:pt idx="36">
                  <c:v>42497</c:v>
                </c:pt>
                <c:pt idx="37">
                  <c:v>42498</c:v>
                </c:pt>
                <c:pt idx="38">
                  <c:v>42499</c:v>
                </c:pt>
                <c:pt idx="39">
                  <c:v>42500</c:v>
                </c:pt>
                <c:pt idx="40">
                  <c:v>42501</c:v>
                </c:pt>
                <c:pt idx="41">
                  <c:v>42502</c:v>
                </c:pt>
                <c:pt idx="42">
                  <c:v>42503</c:v>
                </c:pt>
                <c:pt idx="43">
                  <c:v>42504</c:v>
                </c:pt>
                <c:pt idx="44">
                  <c:v>42505</c:v>
                </c:pt>
                <c:pt idx="45">
                  <c:v>42506</c:v>
                </c:pt>
                <c:pt idx="46">
                  <c:v>42507</c:v>
                </c:pt>
                <c:pt idx="47">
                  <c:v>42508</c:v>
                </c:pt>
                <c:pt idx="48">
                  <c:v>42509</c:v>
                </c:pt>
                <c:pt idx="49">
                  <c:v>42510</c:v>
                </c:pt>
                <c:pt idx="50">
                  <c:v>42511</c:v>
                </c:pt>
                <c:pt idx="51">
                  <c:v>42512</c:v>
                </c:pt>
                <c:pt idx="52">
                  <c:v>42513</c:v>
                </c:pt>
                <c:pt idx="53">
                  <c:v>42514</c:v>
                </c:pt>
                <c:pt idx="54">
                  <c:v>42515</c:v>
                </c:pt>
                <c:pt idx="55">
                  <c:v>42516</c:v>
                </c:pt>
                <c:pt idx="56">
                  <c:v>42517</c:v>
                </c:pt>
                <c:pt idx="57">
                  <c:v>42518</c:v>
                </c:pt>
                <c:pt idx="58">
                  <c:v>42519</c:v>
                </c:pt>
                <c:pt idx="59">
                  <c:v>42520</c:v>
                </c:pt>
                <c:pt idx="60">
                  <c:v>42521</c:v>
                </c:pt>
                <c:pt idx="61">
                  <c:v>42522</c:v>
                </c:pt>
                <c:pt idx="62">
                  <c:v>42523</c:v>
                </c:pt>
                <c:pt idx="63">
                  <c:v>42524</c:v>
                </c:pt>
                <c:pt idx="64">
                  <c:v>42525</c:v>
                </c:pt>
                <c:pt idx="65">
                  <c:v>42526</c:v>
                </c:pt>
                <c:pt idx="66">
                  <c:v>42527</c:v>
                </c:pt>
                <c:pt idx="67">
                  <c:v>42528</c:v>
                </c:pt>
                <c:pt idx="68">
                  <c:v>42529</c:v>
                </c:pt>
                <c:pt idx="69">
                  <c:v>42530</c:v>
                </c:pt>
                <c:pt idx="70">
                  <c:v>42531</c:v>
                </c:pt>
                <c:pt idx="71">
                  <c:v>42532</c:v>
                </c:pt>
                <c:pt idx="72">
                  <c:v>42533</c:v>
                </c:pt>
                <c:pt idx="73">
                  <c:v>42534</c:v>
                </c:pt>
                <c:pt idx="74">
                  <c:v>42535</c:v>
                </c:pt>
                <c:pt idx="75">
                  <c:v>42536</c:v>
                </c:pt>
                <c:pt idx="76">
                  <c:v>42537</c:v>
                </c:pt>
                <c:pt idx="77">
                  <c:v>42538</c:v>
                </c:pt>
                <c:pt idx="78">
                  <c:v>42539</c:v>
                </c:pt>
                <c:pt idx="79">
                  <c:v>42540</c:v>
                </c:pt>
                <c:pt idx="80">
                  <c:v>42541</c:v>
                </c:pt>
                <c:pt idx="81">
                  <c:v>42542</c:v>
                </c:pt>
                <c:pt idx="82">
                  <c:v>42543</c:v>
                </c:pt>
                <c:pt idx="83">
                  <c:v>42544</c:v>
                </c:pt>
                <c:pt idx="84">
                  <c:v>42545</c:v>
                </c:pt>
                <c:pt idx="85">
                  <c:v>42546</c:v>
                </c:pt>
                <c:pt idx="86">
                  <c:v>42547</c:v>
                </c:pt>
                <c:pt idx="87">
                  <c:v>42548</c:v>
                </c:pt>
                <c:pt idx="88">
                  <c:v>42549</c:v>
                </c:pt>
                <c:pt idx="89">
                  <c:v>42550</c:v>
                </c:pt>
                <c:pt idx="90">
                  <c:v>42551</c:v>
                </c:pt>
                <c:pt idx="91">
                  <c:v>42552</c:v>
                </c:pt>
                <c:pt idx="92">
                  <c:v>42553</c:v>
                </c:pt>
                <c:pt idx="93">
                  <c:v>42554</c:v>
                </c:pt>
                <c:pt idx="94">
                  <c:v>42555</c:v>
                </c:pt>
                <c:pt idx="95">
                  <c:v>42556</c:v>
                </c:pt>
                <c:pt idx="96">
                  <c:v>42557</c:v>
                </c:pt>
                <c:pt idx="97">
                  <c:v>42558</c:v>
                </c:pt>
                <c:pt idx="98">
                  <c:v>42559</c:v>
                </c:pt>
                <c:pt idx="99">
                  <c:v>42560</c:v>
                </c:pt>
                <c:pt idx="100">
                  <c:v>42561</c:v>
                </c:pt>
                <c:pt idx="101">
                  <c:v>42562</c:v>
                </c:pt>
                <c:pt idx="102">
                  <c:v>42563</c:v>
                </c:pt>
                <c:pt idx="103">
                  <c:v>42564</c:v>
                </c:pt>
                <c:pt idx="104">
                  <c:v>42565</c:v>
                </c:pt>
                <c:pt idx="105">
                  <c:v>42566</c:v>
                </c:pt>
                <c:pt idx="106">
                  <c:v>42567</c:v>
                </c:pt>
                <c:pt idx="107">
                  <c:v>42568</c:v>
                </c:pt>
                <c:pt idx="108">
                  <c:v>42569</c:v>
                </c:pt>
                <c:pt idx="109">
                  <c:v>42570</c:v>
                </c:pt>
                <c:pt idx="110">
                  <c:v>42571</c:v>
                </c:pt>
                <c:pt idx="111">
                  <c:v>42572</c:v>
                </c:pt>
                <c:pt idx="112">
                  <c:v>42573</c:v>
                </c:pt>
                <c:pt idx="113">
                  <c:v>42574</c:v>
                </c:pt>
                <c:pt idx="114">
                  <c:v>42575</c:v>
                </c:pt>
                <c:pt idx="115">
                  <c:v>42576</c:v>
                </c:pt>
                <c:pt idx="116">
                  <c:v>42577</c:v>
                </c:pt>
                <c:pt idx="117">
                  <c:v>42578</c:v>
                </c:pt>
                <c:pt idx="118">
                  <c:v>42579</c:v>
                </c:pt>
                <c:pt idx="119">
                  <c:v>42580</c:v>
                </c:pt>
                <c:pt idx="120">
                  <c:v>42581</c:v>
                </c:pt>
                <c:pt idx="121">
                  <c:v>42582</c:v>
                </c:pt>
                <c:pt idx="122">
                  <c:v>42583</c:v>
                </c:pt>
                <c:pt idx="123">
                  <c:v>42584</c:v>
                </c:pt>
                <c:pt idx="124">
                  <c:v>42585</c:v>
                </c:pt>
                <c:pt idx="125">
                  <c:v>42586</c:v>
                </c:pt>
                <c:pt idx="126">
                  <c:v>42587</c:v>
                </c:pt>
                <c:pt idx="127">
                  <c:v>42588</c:v>
                </c:pt>
                <c:pt idx="128">
                  <c:v>42589</c:v>
                </c:pt>
                <c:pt idx="129">
                  <c:v>42590</c:v>
                </c:pt>
                <c:pt idx="130">
                  <c:v>42591</c:v>
                </c:pt>
                <c:pt idx="131">
                  <c:v>42592</c:v>
                </c:pt>
                <c:pt idx="132">
                  <c:v>42593</c:v>
                </c:pt>
                <c:pt idx="133">
                  <c:v>42594</c:v>
                </c:pt>
                <c:pt idx="134">
                  <c:v>42595</c:v>
                </c:pt>
                <c:pt idx="135">
                  <c:v>42596</c:v>
                </c:pt>
                <c:pt idx="136">
                  <c:v>42597</c:v>
                </c:pt>
                <c:pt idx="137">
                  <c:v>42598</c:v>
                </c:pt>
                <c:pt idx="138">
                  <c:v>42599</c:v>
                </c:pt>
                <c:pt idx="139">
                  <c:v>42600</c:v>
                </c:pt>
                <c:pt idx="140">
                  <c:v>42601</c:v>
                </c:pt>
                <c:pt idx="141">
                  <c:v>42602</c:v>
                </c:pt>
                <c:pt idx="142">
                  <c:v>42603</c:v>
                </c:pt>
                <c:pt idx="143">
                  <c:v>42604</c:v>
                </c:pt>
                <c:pt idx="144">
                  <c:v>42605</c:v>
                </c:pt>
                <c:pt idx="145">
                  <c:v>42606</c:v>
                </c:pt>
                <c:pt idx="146">
                  <c:v>42607</c:v>
                </c:pt>
                <c:pt idx="147">
                  <c:v>42608</c:v>
                </c:pt>
                <c:pt idx="148">
                  <c:v>42609</c:v>
                </c:pt>
                <c:pt idx="149">
                  <c:v>42610</c:v>
                </c:pt>
                <c:pt idx="150">
                  <c:v>42611</c:v>
                </c:pt>
                <c:pt idx="151">
                  <c:v>42612</c:v>
                </c:pt>
                <c:pt idx="152">
                  <c:v>42613</c:v>
                </c:pt>
                <c:pt idx="153">
                  <c:v>42614</c:v>
                </c:pt>
                <c:pt idx="154">
                  <c:v>42615</c:v>
                </c:pt>
                <c:pt idx="155">
                  <c:v>42616</c:v>
                </c:pt>
                <c:pt idx="156">
                  <c:v>42617</c:v>
                </c:pt>
                <c:pt idx="157">
                  <c:v>42618</c:v>
                </c:pt>
                <c:pt idx="158">
                  <c:v>42619</c:v>
                </c:pt>
                <c:pt idx="159">
                  <c:v>42620</c:v>
                </c:pt>
                <c:pt idx="160">
                  <c:v>42621</c:v>
                </c:pt>
                <c:pt idx="161">
                  <c:v>42622</c:v>
                </c:pt>
                <c:pt idx="162">
                  <c:v>42623</c:v>
                </c:pt>
                <c:pt idx="163">
                  <c:v>42624</c:v>
                </c:pt>
                <c:pt idx="164">
                  <c:v>42625</c:v>
                </c:pt>
                <c:pt idx="165">
                  <c:v>42626</c:v>
                </c:pt>
                <c:pt idx="166">
                  <c:v>42627</c:v>
                </c:pt>
                <c:pt idx="167">
                  <c:v>42628</c:v>
                </c:pt>
                <c:pt idx="168">
                  <c:v>42629</c:v>
                </c:pt>
                <c:pt idx="169">
                  <c:v>42630</c:v>
                </c:pt>
                <c:pt idx="170">
                  <c:v>42631</c:v>
                </c:pt>
                <c:pt idx="171">
                  <c:v>42632</c:v>
                </c:pt>
                <c:pt idx="172">
                  <c:v>42633</c:v>
                </c:pt>
                <c:pt idx="173">
                  <c:v>42634</c:v>
                </c:pt>
                <c:pt idx="174">
                  <c:v>42635</c:v>
                </c:pt>
                <c:pt idx="175">
                  <c:v>42636</c:v>
                </c:pt>
                <c:pt idx="176">
                  <c:v>42637</c:v>
                </c:pt>
                <c:pt idx="177">
                  <c:v>42638</c:v>
                </c:pt>
                <c:pt idx="178">
                  <c:v>42639</c:v>
                </c:pt>
                <c:pt idx="179">
                  <c:v>42640</c:v>
                </c:pt>
                <c:pt idx="180">
                  <c:v>42641</c:v>
                </c:pt>
                <c:pt idx="181">
                  <c:v>42642</c:v>
                </c:pt>
                <c:pt idx="182">
                  <c:v>42643</c:v>
                </c:pt>
                <c:pt idx="183">
                  <c:v>42644</c:v>
                </c:pt>
                <c:pt idx="184">
                  <c:v>42645</c:v>
                </c:pt>
                <c:pt idx="185">
                  <c:v>42646</c:v>
                </c:pt>
                <c:pt idx="186">
                  <c:v>42647</c:v>
                </c:pt>
                <c:pt idx="187">
                  <c:v>42648</c:v>
                </c:pt>
                <c:pt idx="188">
                  <c:v>42649</c:v>
                </c:pt>
                <c:pt idx="189">
                  <c:v>42650</c:v>
                </c:pt>
                <c:pt idx="190">
                  <c:v>42651</c:v>
                </c:pt>
                <c:pt idx="191">
                  <c:v>42652</c:v>
                </c:pt>
                <c:pt idx="192">
                  <c:v>42653</c:v>
                </c:pt>
                <c:pt idx="193">
                  <c:v>42654</c:v>
                </c:pt>
                <c:pt idx="194">
                  <c:v>42655</c:v>
                </c:pt>
                <c:pt idx="195">
                  <c:v>42656</c:v>
                </c:pt>
                <c:pt idx="196">
                  <c:v>42657</c:v>
                </c:pt>
                <c:pt idx="197">
                  <c:v>42658</c:v>
                </c:pt>
                <c:pt idx="198">
                  <c:v>42659</c:v>
                </c:pt>
                <c:pt idx="199">
                  <c:v>42660</c:v>
                </c:pt>
                <c:pt idx="200">
                  <c:v>42661</c:v>
                </c:pt>
                <c:pt idx="201">
                  <c:v>42662</c:v>
                </c:pt>
                <c:pt idx="202">
                  <c:v>42663</c:v>
                </c:pt>
                <c:pt idx="203">
                  <c:v>42664</c:v>
                </c:pt>
                <c:pt idx="204">
                  <c:v>42665</c:v>
                </c:pt>
                <c:pt idx="205">
                  <c:v>42666</c:v>
                </c:pt>
                <c:pt idx="206">
                  <c:v>42667</c:v>
                </c:pt>
                <c:pt idx="207">
                  <c:v>42668</c:v>
                </c:pt>
                <c:pt idx="208">
                  <c:v>42669</c:v>
                </c:pt>
                <c:pt idx="209">
                  <c:v>42670</c:v>
                </c:pt>
                <c:pt idx="210">
                  <c:v>42671</c:v>
                </c:pt>
                <c:pt idx="211">
                  <c:v>42672</c:v>
                </c:pt>
                <c:pt idx="212">
                  <c:v>42673</c:v>
                </c:pt>
                <c:pt idx="213">
                  <c:v>42674</c:v>
                </c:pt>
                <c:pt idx="214">
                  <c:v>42675</c:v>
                </c:pt>
                <c:pt idx="215">
                  <c:v>42676</c:v>
                </c:pt>
                <c:pt idx="216">
                  <c:v>42677</c:v>
                </c:pt>
                <c:pt idx="217">
                  <c:v>42678</c:v>
                </c:pt>
                <c:pt idx="218">
                  <c:v>42679</c:v>
                </c:pt>
                <c:pt idx="219">
                  <c:v>42680</c:v>
                </c:pt>
                <c:pt idx="220">
                  <c:v>42681</c:v>
                </c:pt>
                <c:pt idx="221">
                  <c:v>42682</c:v>
                </c:pt>
                <c:pt idx="222">
                  <c:v>42683</c:v>
                </c:pt>
                <c:pt idx="223">
                  <c:v>42684</c:v>
                </c:pt>
                <c:pt idx="224">
                  <c:v>42685</c:v>
                </c:pt>
                <c:pt idx="225">
                  <c:v>42686</c:v>
                </c:pt>
                <c:pt idx="226">
                  <c:v>42687</c:v>
                </c:pt>
                <c:pt idx="227">
                  <c:v>42688</c:v>
                </c:pt>
                <c:pt idx="228">
                  <c:v>42689</c:v>
                </c:pt>
                <c:pt idx="229">
                  <c:v>42690</c:v>
                </c:pt>
                <c:pt idx="230">
                  <c:v>42691</c:v>
                </c:pt>
                <c:pt idx="231">
                  <c:v>42692</c:v>
                </c:pt>
                <c:pt idx="232">
                  <c:v>42693</c:v>
                </c:pt>
                <c:pt idx="233">
                  <c:v>42694</c:v>
                </c:pt>
                <c:pt idx="234">
                  <c:v>42695</c:v>
                </c:pt>
                <c:pt idx="235">
                  <c:v>42696</c:v>
                </c:pt>
                <c:pt idx="236">
                  <c:v>42697</c:v>
                </c:pt>
                <c:pt idx="237">
                  <c:v>42698</c:v>
                </c:pt>
                <c:pt idx="238">
                  <c:v>42699</c:v>
                </c:pt>
                <c:pt idx="239">
                  <c:v>42700</c:v>
                </c:pt>
                <c:pt idx="240">
                  <c:v>42701</c:v>
                </c:pt>
                <c:pt idx="241">
                  <c:v>42702</c:v>
                </c:pt>
                <c:pt idx="242">
                  <c:v>42703</c:v>
                </c:pt>
                <c:pt idx="243">
                  <c:v>42704</c:v>
                </c:pt>
                <c:pt idx="244">
                  <c:v>42705</c:v>
                </c:pt>
                <c:pt idx="245">
                  <c:v>42706</c:v>
                </c:pt>
                <c:pt idx="246">
                  <c:v>42707</c:v>
                </c:pt>
                <c:pt idx="247">
                  <c:v>42708</c:v>
                </c:pt>
                <c:pt idx="248">
                  <c:v>42709</c:v>
                </c:pt>
                <c:pt idx="249">
                  <c:v>42710</c:v>
                </c:pt>
                <c:pt idx="250">
                  <c:v>42711</c:v>
                </c:pt>
                <c:pt idx="251">
                  <c:v>42712</c:v>
                </c:pt>
                <c:pt idx="252">
                  <c:v>42713</c:v>
                </c:pt>
                <c:pt idx="253">
                  <c:v>42714</c:v>
                </c:pt>
                <c:pt idx="254">
                  <c:v>42715</c:v>
                </c:pt>
                <c:pt idx="255">
                  <c:v>42716</c:v>
                </c:pt>
                <c:pt idx="256">
                  <c:v>42717</c:v>
                </c:pt>
                <c:pt idx="257">
                  <c:v>42718</c:v>
                </c:pt>
                <c:pt idx="258">
                  <c:v>42719</c:v>
                </c:pt>
                <c:pt idx="259">
                  <c:v>42720</c:v>
                </c:pt>
                <c:pt idx="260">
                  <c:v>42721</c:v>
                </c:pt>
                <c:pt idx="261">
                  <c:v>42722</c:v>
                </c:pt>
                <c:pt idx="262">
                  <c:v>42723</c:v>
                </c:pt>
                <c:pt idx="263">
                  <c:v>42724</c:v>
                </c:pt>
                <c:pt idx="264">
                  <c:v>42725</c:v>
                </c:pt>
                <c:pt idx="265">
                  <c:v>42726</c:v>
                </c:pt>
                <c:pt idx="266">
                  <c:v>42727</c:v>
                </c:pt>
                <c:pt idx="267">
                  <c:v>42728</c:v>
                </c:pt>
                <c:pt idx="268">
                  <c:v>42729</c:v>
                </c:pt>
                <c:pt idx="269">
                  <c:v>42730</c:v>
                </c:pt>
                <c:pt idx="270">
                  <c:v>42731</c:v>
                </c:pt>
                <c:pt idx="271">
                  <c:v>42732</c:v>
                </c:pt>
                <c:pt idx="272">
                  <c:v>42733</c:v>
                </c:pt>
                <c:pt idx="273">
                  <c:v>42734</c:v>
                </c:pt>
                <c:pt idx="274">
                  <c:v>42735</c:v>
                </c:pt>
                <c:pt idx="275">
                  <c:v>42736</c:v>
                </c:pt>
                <c:pt idx="276">
                  <c:v>42737</c:v>
                </c:pt>
                <c:pt idx="277">
                  <c:v>42738</c:v>
                </c:pt>
                <c:pt idx="278">
                  <c:v>42739</c:v>
                </c:pt>
                <c:pt idx="279">
                  <c:v>42740</c:v>
                </c:pt>
                <c:pt idx="280">
                  <c:v>42741</c:v>
                </c:pt>
                <c:pt idx="281">
                  <c:v>42742</c:v>
                </c:pt>
                <c:pt idx="282">
                  <c:v>42743</c:v>
                </c:pt>
                <c:pt idx="283">
                  <c:v>42744</c:v>
                </c:pt>
                <c:pt idx="284">
                  <c:v>42745</c:v>
                </c:pt>
                <c:pt idx="285">
                  <c:v>42746</c:v>
                </c:pt>
                <c:pt idx="286">
                  <c:v>42747</c:v>
                </c:pt>
                <c:pt idx="287">
                  <c:v>42748</c:v>
                </c:pt>
                <c:pt idx="288">
                  <c:v>42749</c:v>
                </c:pt>
                <c:pt idx="289">
                  <c:v>42750</c:v>
                </c:pt>
                <c:pt idx="290">
                  <c:v>42751</c:v>
                </c:pt>
                <c:pt idx="291">
                  <c:v>42752</c:v>
                </c:pt>
                <c:pt idx="292">
                  <c:v>42753</c:v>
                </c:pt>
                <c:pt idx="293">
                  <c:v>42754</c:v>
                </c:pt>
                <c:pt idx="294">
                  <c:v>42755</c:v>
                </c:pt>
                <c:pt idx="295">
                  <c:v>42756</c:v>
                </c:pt>
                <c:pt idx="296">
                  <c:v>42757</c:v>
                </c:pt>
                <c:pt idx="297">
                  <c:v>42758</c:v>
                </c:pt>
                <c:pt idx="298">
                  <c:v>42759</c:v>
                </c:pt>
                <c:pt idx="299">
                  <c:v>42760</c:v>
                </c:pt>
                <c:pt idx="300">
                  <c:v>42761</c:v>
                </c:pt>
                <c:pt idx="301">
                  <c:v>42762</c:v>
                </c:pt>
                <c:pt idx="302">
                  <c:v>42763</c:v>
                </c:pt>
                <c:pt idx="303">
                  <c:v>42764</c:v>
                </c:pt>
                <c:pt idx="304">
                  <c:v>42765</c:v>
                </c:pt>
                <c:pt idx="305">
                  <c:v>42766</c:v>
                </c:pt>
                <c:pt idx="306">
                  <c:v>42767</c:v>
                </c:pt>
                <c:pt idx="307">
                  <c:v>42768</c:v>
                </c:pt>
                <c:pt idx="308">
                  <c:v>42769</c:v>
                </c:pt>
                <c:pt idx="309">
                  <c:v>42770</c:v>
                </c:pt>
                <c:pt idx="310">
                  <c:v>42771</c:v>
                </c:pt>
                <c:pt idx="311">
                  <c:v>42772</c:v>
                </c:pt>
                <c:pt idx="312">
                  <c:v>42773</c:v>
                </c:pt>
                <c:pt idx="313">
                  <c:v>42774</c:v>
                </c:pt>
                <c:pt idx="314">
                  <c:v>42775</c:v>
                </c:pt>
                <c:pt idx="315">
                  <c:v>42776</c:v>
                </c:pt>
                <c:pt idx="316">
                  <c:v>42777</c:v>
                </c:pt>
                <c:pt idx="317">
                  <c:v>42778</c:v>
                </c:pt>
                <c:pt idx="318">
                  <c:v>42779</c:v>
                </c:pt>
                <c:pt idx="319">
                  <c:v>42780</c:v>
                </c:pt>
                <c:pt idx="320">
                  <c:v>42781</c:v>
                </c:pt>
                <c:pt idx="321">
                  <c:v>42782</c:v>
                </c:pt>
                <c:pt idx="322">
                  <c:v>42783</c:v>
                </c:pt>
                <c:pt idx="323">
                  <c:v>42784</c:v>
                </c:pt>
                <c:pt idx="324">
                  <c:v>42785</c:v>
                </c:pt>
                <c:pt idx="325">
                  <c:v>42786</c:v>
                </c:pt>
                <c:pt idx="326">
                  <c:v>42787</c:v>
                </c:pt>
                <c:pt idx="327">
                  <c:v>42788</c:v>
                </c:pt>
                <c:pt idx="328">
                  <c:v>42789</c:v>
                </c:pt>
                <c:pt idx="329">
                  <c:v>42790</c:v>
                </c:pt>
                <c:pt idx="330">
                  <c:v>42791</c:v>
                </c:pt>
                <c:pt idx="331">
                  <c:v>42792</c:v>
                </c:pt>
                <c:pt idx="332">
                  <c:v>42793</c:v>
                </c:pt>
                <c:pt idx="333">
                  <c:v>42794</c:v>
                </c:pt>
                <c:pt idx="334">
                  <c:v>42795</c:v>
                </c:pt>
                <c:pt idx="335">
                  <c:v>42796</c:v>
                </c:pt>
                <c:pt idx="336">
                  <c:v>42797</c:v>
                </c:pt>
                <c:pt idx="337">
                  <c:v>42798</c:v>
                </c:pt>
                <c:pt idx="338">
                  <c:v>42799</c:v>
                </c:pt>
                <c:pt idx="339">
                  <c:v>42800</c:v>
                </c:pt>
                <c:pt idx="340">
                  <c:v>42801</c:v>
                </c:pt>
                <c:pt idx="341">
                  <c:v>42802</c:v>
                </c:pt>
                <c:pt idx="342">
                  <c:v>42803</c:v>
                </c:pt>
                <c:pt idx="343">
                  <c:v>42804</c:v>
                </c:pt>
                <c:pt idx="344">
                  <c:v>42805</c:v>
                </c:pt>
                <c:pt idx="345">
                  <c:v>42806</c:v>
                </c:pt>
                <c:pt idx="346">
                  <c:v>42807</c:v>
                </c:pt>
                <c:pt idx="347">
                  <c:v>42808</c:v>
                </c:pt>
                <c:pt idx="348">
                  <c:v>42809</c:v>
                </c:pt>
                <c:pt idx="349">
                  <c:v>42810</c:v>
                </c:pt>
                <c:pt idx="350">
                  <c:v>42811</c:v>
                </c:pt>
                <c:pt idx="351">
                  <c:v>42812</c:v>
                </c:pt>
                <c:pt idx="352">
                  <c:v>42813</c:v>
                </c:pt>
                <c:pt idx="353">
                  <c:v>42814</c:v>
                </c:pt>
                <c:pt idx="354">
                  <c:v>42815</c:v>
                </c:pt>
                <c:pt idx="355">
                  <c:v>42816</c:v>
                </c:pt>
                <c:pt idx="356">
                  <c:v>42817</c:v>
                </c:pt>
                <c:pt idx="357">
                  <c:v>42818</c:v>
                </c:pt>
                <c:pt idx="358">
                  <c:v>42819</c:v>
                </c:pt>
                <c:pt idx="359">
                  <c:v>42820</c:v>
                </c:pt>
                <c:pt idx="360">
                  <c:v>42821</c:v>
                </c:pt>
                <c:pt idx="361">
                  <c:v>42822</c:v>
                </c:pt>
                <c:pt idx="362">
                  <c:v>42823</c:v>
                </c:pt>
                <c:pt idx="363">
                  <c:v>42824</c:v>
                </c:pt>
                <c:pt idx="364">
                  <c:v>42825</c:v>
                </c:pt>
                <c:pt idx="365">
                  <c:v>42826</c:v>
                </c:pt>
              </c:numCache>
            </c:numRef>
          </c:cat>
          <c:val>
            <c:numRef>
              <c:f>('Total Debt 16-17'!$U$5:$U$188,'Total Debt 16-17'!$AS$5:$AS$188)</c:f>
              <c:numCache>
                <c:formatCode>_-* #,##0_-;\-* #,##0_-;_-* "-"??_-;_-@_-</c:formatCode>
                <c:ptCount val="368"/>
                <c:pt idx="0">
                  <c:v>1094415155.1212091</c:v>
                </c:pt>
                <c:pt idx="1">
                  <c:v>1090295155.1212091</c:v>
                </c:pt>
                <c:pt idx="2">
                  <c:v>1090295155.1212091</c:v>
                </c:pt>
                <c:pt idx="3">
                  <c:v>1090295155.1212091</c:v>
                </c:pt>
                <c:pt idx="4">
                  <c:v>1089895155.1212091</c:v>
                </c:pt>
                <c:pt idx="5">
                  <c:v>1087030155.1212091</c:v>
                </c:pt>
                <c:pt idx="6">
                  <c:v>1087265155.1212091</c:v>
                </c:pt>
                <c:pt idx="7">
                  <c:v>1103215155.1212091</c:v>
                </c:pt>
                <c:pt idx="8">
                  <c:v>1101615155.1212091</c:v>
                </c:pt>
                <c:pt idx="9">
                  <c:v>1101615155.1212091</c:v>
                </c:pt>
                <c:pt idx="10">
                  <c:v>1101615155.1212091</c:v>
                </c:pt>
                <c:pt idx="11">
                  <c:v>1101680155.1212091</c:v>
                </c:pt>
                <c:pt idx="12">
                  <c:v>1099895155.1212091</c:v>
                </c:pt>
                <c:pt idx="13">
                  <c:v>1099605155.1212091</c:v>
                </c:pt>
                <c:pt idx="14">
                  <c:v>1099235155.1212091</c:v>
                </c:pt>
                <c:pt idx="15">
                  <c:v>1100140155.1212091</c:v>
                </c:pt>
                <c:pt idx="16">
                  <c:v>1100140155.1212091</c:v>
                </c:pt>
                <c:pt idx="17">
                  <c:v>1100140155.1212091</c:v>
                </c:pt>
                <c:pt idx="18">
                  <c:v>1098900155.1212091</c:v>
                </c:pt>
                <c:pt idx="19">
                  <c:v>1094920155.1212091</c:v>
                </c:pt>
                <c:pt idx="20">
                  <c:v>1094760155.1212091</c:v>
                </c:pt>
                <c:pt idx="21">
                  <c:v>1104660155.1212091</c:v>
                </c:pt>
                <c:pt idx="22">
                  <c:v>1098555155.1212091</c:v>
                </c:pt>
                <c:pt idx="23">
                  <c:v>1098555155.1212091</c:v>
                </c:pt>
                <c:pt idx="24">
                  <c:v>1098555155.1212091</c:v>
                </c:pt>
                <c:pt idx="25">
                  <c:v>1098640155.1212091</c:v>
                </c:pt>
                <c:pt idx="26">
                  <c:v>1096220155.1212091</c:v>
                </c:pt>
                <c:pt idx="27">
                  <c:v>1096610155.1212091</c:v>
                </c:pt>
                <c:pt idx="28">
                  <c:v>1087300155.1212091</c:v>
                </c:pt>
                <c:pt idx="29">
                  <c:v>1082290155.1212091</c:v>
                </c:pt>
                <c:pt idx="30">
                  <c:v>1082290155.1212091</c:v>
                </c:pt>
                <c:pt idx="31">
                  <c:v>1082290155.1212091</c:v>
                </c:pt>
                <c:pt idx="32">
                  <c:v>1082290155.1212091</c:v>
                </c:pt>
                <c:pt idx="33">
                  <c:v>1079310155.1212091</c:v>
                </c:pt>
                <c:pt idx="34">
                  <c:v>1078975155.1212091</c:v>
                </c:pt>
                <c:pt idx="35">
                  <c:v>1079575155.1212091</c:v>
                </c:pt>
                <c:pt idx="36">
                  <c:v>1077560155.1212091</c:v>
                </c:pt>
                <c:pt idx="37">
                  <c:v>1077560155.1212091</c:v>
                </c:pt>
                <c:pt idx="38">
                  <c:v>1077560155.1212091</c:v>
                </c:pt>
                <c:pt idx="39">
                  <c:v>1093705155.1212091</c:v>
                </c:pt>
                <c:pt idx="40">
                  <c:v>1101475155.1212091</c:v>
                </c:pt>
                <c:pt idx="41">
                  <c:v>1100430155.1212091</c:v>
                </c:pt>
                <c:pt idx="42">
                  <c:v>1097640155.1212091</c:v>
                </c:pt>
                <c:pt idx="43">
                  <c:v>1096270155.1212091</c:v>
                </c:pt>
                <c:pt idx="44">
                  <c:v>1096270155.1212091</c:v>
                </c:pt>
                <c:pt idx="45">
                  <c:v>1096270155.1212091</c:v>
                </c:pt>
                <c:pt idx="46">
                  <c:v>1096555155.1212091</c:v>
                </c:pt>
                <c:pt idx="47">
                  <c:v>1095950155.1212091</c:v>
                </c:pt>
                <c:pt idx="48">
                  <c:v>1094100155.1212091</c:v>
                </c:pt>
                <c:pt idx="49">
                  <c:v>1087465155.1212091</c:v>
                </c:pt>
                <c:pt idx="50">
                  <c:v>1080470155.1212091</c:v>
                </c:pt>
                <c:pt idx="51">
                  <c:v>1080470155.1212091</c:v>
                </c:pt>
                <c:pt idx="52">
                  <c:v>1080470155.1212091</c:v>
                </c:pt>
                <c:pt idx="53">
                  <c:v>1080550155.1212091</c:v>
                </c:pt>
                <c:pt idx="54">
                  <c:v>1080465155.1212091</c:v>
                </c:pt>
                <c:pt idx="55">
                  <c:v>1080275155.1212091</c:v>
                </c:pt>
                <c:pt idx="56">
                  <c:v>1077620155.1212091</c:v>
                </c:pt>
                <c:pt idx="57">
                  <c:v>1082335155.1212091</c:v>
                </c:pt>
                <c:pt idx="58">
                  <c:v>1082335155.1212091</c:v>
                </c:pt>
                <c:pt idx="59">
                  <c:v>1082335155.1212091</c:v>
                </c:pt>
                <c:pt idx="60">
                  <c:v>1082335155.1212091</c:v>
                </c:pt>
                <c:pt idx="61">
                  <c:v>1084475155.1212091</c:v>
                </c:pt>
                <c:pt idx="62">
                  <c:v>1092535155.1212091</c:v>
                </c:pt>
                <c:pt idx="63">
                  <c:v>1086890155.1212091</c:v>
                </c:pt>
                <c:pt idx="64">
                  <c:v>1096735155.1212091</c:v>
                </c:pt>
                <c:pt idx="65">
                  <c:v>1096735155.1212091</c:v>
                </c:pt>
                <c:pt idx="66">
                  <c:v>1096735155.1212091</c:v>
                </c:pt>
                <c:pt idx="67">
                  <c:v>1109445155.1212091</c:v>
                </c:pt>
                <c:pt idx="68">
                  <c:v>1123530155.1212091</c:v>
                </c:pt>
                <c:pt idx="69">
                  <c:v>1123445155.1212091</c:v>
                </c:pt>
                <c:pt idx="70">
                  <c:v>1122660155.1212091</c:v>
                </c:pt>
                <c:pt idx="71">
                  <c:v>1122485155.1212091</c:v>
                </c:pt>
                <c:pt idx="72">
                  <c:v>1122485155.1212091</c:v>
                </c:pt>
                <c:pt idx="73">
                  <c:v>1122485155.1212091</c:v>
                </c:pt>
                <c:pt idx="74">
                  <c:v>1122570155.1212091</c:v>
                </c:pt>
                <c:pt idx="75">
                  <c:v>1121725155.1212091</c:v>
                </c:pt>
                <c:pt idx="76">
                  <c:v>1118130155.1212091</c:v>
                </c:pt>
                <c:pt idx="77">
                  <c:v>1118235155.1212091</c:v>
                </c:pt>
                <c:pt idx="78">
                  <c:v>1116100155.1212091</c:v>
                </c:pt>
                <c:pt idx="79">
                  <c:v>1116100155.1212091</c:v>
                </c:pt>
                <c:pt idx="80">
                  <c:v>1116100155.1212091</c:v>
                </c:pt>
                <c:pt idx="81">
                  <c:v>1117745155.1212091</c:v>
                </c:pt>
                <c:pt idx="82">
                  <c:v>1117130155.1212091</c:v>
                </c:pt>
                <c:pt idx="83">
                  <c:v>1110800155.1212091</c:v>
                </c:pt>
                <c:pt idx="84">
                  <c:v>1110450155.1212091</c:v>
                </c:pt>
                <c:pt idx="85">
                  <c:v>1108310155.1212091</c:v>
                </c:pt>
                <c:pt idx="86">
                  <c:v>1108310155.1212091</c:v>
                </c:pt>
                <c:pt idx="87">
                  <c:v>1108310155.1212091</c:v>
                </c:pt>
                <c:pt idx="88">
                  <c:v>1108815155.1212091</c:v>
                </c:pt>
                <c:pt idx="89">
                  <c:v>1099615155.1212091</c:v>
                </c:pt>
                <c:pt idx="90">
                  <c:v>1099450155.1212091</c:v>
                </c:pt>
                <c:pt idx="91">
                  <c:v>1098480155.1212091</c:v>
                </c:pt>
                <c:pt idx="92">
                  <c:v>1093970155.1212091</c:v>
                </c:pt>
                <c:pt idx="93">
                  <c:v>1093970155.1212091</c:v>
                </c:pt>
                <c:pt idx="94">
                  <c:v>1093970155.1212091</c:v>
                </c:pt>
                <c:pt idx="95">
                  <c:v>1091720155.1212091</c:v>
                </c:pt>
                <c:pt idx="96">
                  <c:v>1143930155.1212091</c:v>
                </c:pt>
                <c:pt idx="97">
                  <c:v>1154265155.1212091</c:v>
                </c:pt>
                <c:pt idx="98">
                  <c:v>1169535155.1212091</c:v>
                </c:pt>
                <c:pt idx="99">
                  <c:v>1174190155.1212091</c:v>
                </c:pt>
                <c:pt idx="100">
                  <c:v>1174190155.1212091</c:v>
                </c:pt>
                <c:pt idx="101">
                  <c:v>1174190155.1212091</c:v>
                </c:pt>
                <c:pt idx="102">
                  <c:v>1169070155.1212091</c:v>
                </c:pt>
                <c:pt idx="103">
                  <c:v>1168595155.1212091</c:v>
                </c:pt>
                <c:pt idx="104">
                  <c:v>1166595155.1212091</c:v>
                </c:pt>
                <c:pt idx="105">
                  <c:v>1166405155.1212091</c:v>
                </c:pt>
                <c:pt idx="106">
                  <c:v>1162305155.1212091</c:v>
                </c:pt>
                <c:pt idx="107">
                  <c:v>1162305155.1212091</c:v>
                </c:pt>
                <c:pt idx="108">
                  <c:v>1162305155.1212091</c:v>
                </c:pt>
                <c:pt idx="109">
                  <c:v>1162225155.1212091</c:v>
                </c:pt>
                <c:pt idx="110">
                  <c:v>1168175155.1212091</c:v>
                </c:pt>
                <c:pt idx="111">
                  <c:v>1168685155.1212091</c:v>
                </c:pt>
                <c:pt idx="112">
                  <c:v>1169785155.1212091</c:v>
                </c:pt>
                <c:pt idx="113">
                  <c:v>1163290155.1212091</c:v>
                </c:pt>
                <c:pt idx="114">
                  <c:v>1163290155.1212091</c:v>
                </c:pt>
                <c:pt idx="115">
                  <c:v>1163290155.1212091</c:v>
                </c:pt>
                <c:pt idx="116">
                  <c:v>1163445155.1212091</c:v>
                </c:pt>
                <c:pt idx="117">
                  <c:v>1160350155.1212091</c:v>
                </c:pt>
                <c:pt idx="118">
                  <c:v>1160685155.1212091</c:v>
                </c:pt>
                <c:pt idx="119">
                  <c:v>1167095155.1212091</c:v>
                </c:pt>
                <c:pt idx="120">
                  <c:v>1161445155.1212091</c:v>
                </c:pt>
                <c:pt idx="121">
                  <c:v>1161445155.1212091</c:v>
                </c:pt>
                <c:pt idx="122">
                  <c:v>1161445155.1212091</c:v>
                </c:pt>
                <c:pt idx="123">
                  <c:v>1159195155.1212091</c:v>
                </c:pt>
                <c:pt idx="124">
                  <c:v>1157955155.1212091</c:v>
                </c:pt>
                <c:pt idx="125">
                  <c:v>1134215155.1212091</c:v>
                </c:pt>
                <c:pt idx="126">
                  <c:v>1132990155.1212091</c:v>
                </c:pt>
                <c:pt idx="127">
                  <c:v>1149025155.1212091</c:v>
                </c:pt>
                <c:pt idx="128">
                  <c:v>1149025155.1212091</c:v>
                </c:pt>
                <c:pt idx="129">
                  <c:v>1149025155.1212091</c:v>
                </c:pt>
                <c:pt idx="130">
                  <c:v>1148515155.1212091</c:v>
                </c:pt>
                <c:pt idx="131">
                  <c:v>1147800155.1212091</c:v>
                </c:pt>
                <c:pt idx="132">
                  <c:v>1148640155.1212091</c:v>
                </c:pt>
                <c:pt idx="133">
                  <c:v>1153570155.1212091</c:v>
                </c:pt>
                <c:pt idx="134">
                  <c:v>1154435155.1212091</c:v>
                </c:pt>
                <c:pt idx="135">
                  <c:v>1154435155.1212091</c:v>
                </c:pt>
                <c:pt idx="136">
                  <c:v>1154435155.1212091</c:v>
                </c:pt>
                <c:pt idx="137">
                  <c:v>1166265155.1212091</c:v>
                </c:pt>
                <c:pt idx="138">
                  <c:v>1184070155.1212091</c:v>
                </c:pt>
                <c:pt idx="139">
                  <c:v>1184725155.1212091</c:v>
                </c:pt>
                <c:pt idx="140">
                  <c:v>1183255155.1212091</c:v>
                </c:pt>
                <c:pt idx="141">
                  <c:v>1179115155.1212091</c:v>
                </c:pt>
                <c:pt idx="142">
                  <c:v>1179115155.1212091</c:v>
                </c:pt>
                <c:pt idx="143">
                  <c:v>1179115155.1212091</c:v>
                </c:pt>
                <c:pt idx="144">
                  <c:v>1163015155.1212091</c:v>
                </c:pt>
                <c:pt idx="145">
                  <c:v>1142885155.1212091</c:v>
                </c:pt>
                <c:pt idx="146">
                  <c:v>1142485155.1212091</c:v>
                </c:pt>
                <c:pt idx="147">
                  <c:v>1142390155.1212091</c:v>
                </c:pt>
                <c:pt idx="148">
                  <c:v>1124345155.1212091</c:v>
                </c:pt>
                <c:pt idx="149">
                  <c:v>1124345155.1212091</c:v>
                </c:pt>
                <c:pt idx="150">
                  <c:v>1124345155.1212091</c:v>
                </c:pt>
                <c:pt idx="151">
                  <c:v>1124345155.1212091</c:v>
                </c:pt>
                <c:pt idx="152">
                  <c:v>1123855155.1212091</c:v>
                </c:pt>
                <c:pt idx="153">
                  <c:v>1119475155.1212091</c:v>
                </c:pt>
                <c:pt idx="154">
                  <c:v>1118510155.1212091</c:v>
                </c:pt>
                <c:pt idx="155">
                  <c:v>1111410155.1212091</c:v>
                </c:pt>
                <c:pt idx="156">
                  <c:v>1111410155.1212091</c:v>
                </c:pt>
                <c:pt idx="157">
                  <c:v>1111410155.1212091</c:v>
                </c:pt>
                <c:pt idx="158">
                  <c:v>1115355155.1212091</c:v>
                </c:pt>
                <c:pt idx="159">
                  <c:v>1134275155.1212091</c:v>
                </c:pt>
                <c:pt idx="160">
                  <c:v>1149985155.1212091</c:v>
                </c:pt>
                <c:pt idx="161">
                  <c:v>1150650155.1212091</c:v>
                </c:pt>
                <c:pt idx="162">
                  <c:v>1150790155.1212091</c:v>
                </c:pt>
                <c:pt idx="163">
                  <c:v>1150790155.1212091</c:v>
                </c:pt>
                <c:pt idx="164">
                  <c:v>1150790155.1212091</c:v>
                </c:pt>
                <c:pt idx="165">
                  <c:v>1151475155.1212091</c:v>
                </c:pt>
                <c:pt idx="166">
                  <c:v>1149795155.1212091</c:v>
                </c:pt>
                <c:pt idx="167">
                  <c:v>1149815155.1212091</c:v>
                </c:pt>
                <c:pt idx="168">
                  <c:v>1152735155.1212091</c:v>
                </c:pt>
                <c:pt idx="169">
                  <c:v>1152620155.1212091</c:v>
                </c:pt>
                <c:pt idx="170">
                  <c:v>1152620155.1212091</c:v>
                </c:pt>
                <c:pt idx="171">
                  <c:v>1152620155.1212091</c:v>
                </c:pt>
                <c:pt idx="172">
                  <c:v>1155965155.1212091</c:v>
                </c:pt>
                <c:pt idx="173">
                  <c:v>1155215155.1212091</c:v>
                </c:pt>
                <c:pt idx="174">
                  <c:v>1155115155.1212091</c:v>
                </c:pt>
                <c:pt idx="175">
                  <c:v>1147050155.1212091</c:v>
                </c:pt>
                <c:pt idx="176">
                  <c:v>1146230155.1212091</c:v>
                </c:pt>
                <c:pt idx="177">
                  <c:v>1146230155.1212091</c:v>
                </c:pt>
                <c:pt idx="178">
                  <c:v>1146230155.1212091</c:v>
                </c:pt>
                <c:pt idx="179">
                  <c:v>1144140155.1212091</c:v>
                </c:pt>
                <c:pt idx="180">
                  <c:v>1144000155.1212091</c:v>
                </c:pt>
                <c:pt idx="181">
                  <c:v>1134615155.1212091</c:v>
                </c:pt>
                <c:pt idx="182">
                  <c:v>1134135155.1212091</c:v>
                </c:pt>
                <c:pt idx="183">
                  <c:v>1118510155.1212091</c:v>
                </c:pt>
                <c:pt idx="184">
                  <c:v>1118510155.1212091</c:v>
                </c:pt>
                <c:pt idx="185">
                  <c:v>1118510155.1212091</c:v>
                </c:pt>
                <c:pt idx="186">
                  <c:v>1118510155.1212091</c:v>
                </c:pt>
                <c:pt idx="187">
                  <c:v>1119330155.1212091</c:v>
                </c:pt>
                <c:pt idx="188">
                  <c:v>1118510155.1212091</c:v>
                </c:pt>
                <c:pt idx="189">
                  <c:v>1121425155.1212091</c:v>
                </c:pt>
                <c:pt idx="190">
                  <c:v>1118025155.1212091</c:v>
                </c:pt>
                <c:pt idx="191">
                  <c:v>1134330155.1212091</c:v>
                </c:pt>
                <c:pt idx="192">
                  <c:v>1134330155.1212091</c:v>
                </c:pt>
                <c:pt idx="193">
                  <c:v>1134330155.1212091</c:v>
                </c:pt>
                <c:pt idx="194">
                  <c:v>1134220155.1212091</c:v>
                </c:pt>
                <c:pt idx="195">
                  <c:v>1132535155.1212091</c:v>
                </c:pt>
                <c:pt idx="196">
                  <c:v>1132980155.1212091</c:v>
                </c:pt>
                <c:pt idx="197">
                  <c:v>1133405155.1212091</c:v>
                </c:pt>
                <c:pt idx="198">
                  <c:v>1131985155.1212091</c:v>
                </c:pt>
                <c:pt idx="199">
                  <c:v>1131985155.1212091</c:v>
                </c:pt>
                <c:pt idx="200">
                  <c:v>1131985155.1212091</c:v>
                </c:pt>
                <c:pt idx="201">
                  <c:v>1134055155.1212091</c:v>
                </c:pt>
                <c:pt idx="202">
                  <c:v>1132800155.1212091</c:v>
                </c:pt>
                <c:pt idx="203">
                  <c:v>1154690655.1212091</c:v>
                </c:pt>
                <c:pt idx="204">
                  <c:v>1155205655.1212091</c:v>
                </c:pt>
                <c:pt idx="205">
                  <c:v>1149045655.1212091</c:v>
                </c:pt>
                <c:pt idx="206">
                  <c:v>1149045655.1212091</c:v>
                </c:pt>
                <c:pt idx="207">
                  <c:v>1149045655.1212091</c:v>
                </c:pt>
                <c:pt idx="208">
                  <c:v>1148895655.1212091</c:v>
                </c:pt>
                <c:pt idx="209">
                  <c:v>1161380655.1212091</c:v>
                </c:pt>
                <c:pt idx="210">
                  <c:v>1167000655.1212091</c:v>
                </c:pt>
                <c:pt idx="211">
                  <c:v>1162035655.1212091</c:v>
                </c:pt>
                <c:pt idx="212">
                  <c:v>1144760655.1212091</c:v>
                </c:pt>
                <c:pt idx="213">
                  <c:v>1144760655.1212091</c:v>
                </c:pt>
                <c:pt idx="214">
                  <c:v>1144760655.1212091</c:v>
                </c:pt>
                <c:pt idx="215">
                  <c:v>1137175655.1212091</c:v>
                </c:pt>
                <c:pt idx="216">
                  <c:v>1140060655.1212091</c:v>
                </c:pt>
                <c:pt idx="217">
                  <c:v>1140500655.1212091</c:v>
                </c:pt>
                <c:pt idx="218">
                  <c:v>1139600655.1212091</c:v>
                </c:pt>
                <c:pt idx="219">
                  <c:v>1141860655.1212091</c:v>
                </c:pt>
                <c:pt idx="220">
                  <c:v>1141860655.1212091</c:v>
                </c:pt>
                <c:pt idx="221">
                  <c:v>1141860655.1212091</c:v>
                </c:pt>
                <c:pt idx="222">
                  <c:v>1148725655.1212091</c:v>
                </c:pt>
                <c:pt idx="223">
                  <c:v>1152330655.1212091</c:v>
                </c:pt>
                <c:pt idx="224">
                  <c:v>1152140655.1212091</c:v>
                </c:pt>
                <c:pt idx="225">
                  <c:v>1152750655.1212091</c:v>
                </c:pt>
                <c:pt idx="226">
                  <c:v>1151970655.1212091</c:v>
                </c:pt>
                <c:pt idx="227">
                  <c:v>1151970655.1212091</c:v>
                </c:pt>
                <c:pt idx="228">
                  <c:v>1151970655.1212091</c:v>
                </c:pt>
                <c:pt idx="229">
                  <c:v>1162805655.1212091</c:v>
                </c:pt>
                <c:pt idx="230">
                  <c:v>1165060655.1212091</c:v>
                </c:pt>
                <c:pt idx="231">
                  <c:v>1164915655.1212091</c:v>
                </c:pt>
                <c:pt idx="232">
                  <c:v>1159850655.1212091</c:v>
                </c:pt>
                <c:pt idx="233">
                  <c:v>1157410655.1212091</c:v>
                </c:pt>
                <c:pt idx="234">
                  <c:v>1157410655.1212091</c:v>
                </c:pt>
                <c:pt idx="235">
                  <c:v>1157410655.1212091</c:v>
                </c:pt>
                <c:pt idx="236">
                  <c:v>1154685655.1212091</c:v>
                </c:pt>
                <c:pt idx="237">
                  <c:v>1147430655.1212091</c:v>
                </c:pt>
                <c:pt idx="238">
                  <c:v>1153320655.1212091</c:v>
                </c:pt>
                <c:pt idx="239">
                  <c:v>1148380655.1212091</c:v>
                </c:pt>
                <c:pt idx="240">
                  <c:v>1144315655.1212091</c:v>
                </c:pt>
                <c:pt idx="241">
                  <c:v>1144315655.1212091</c:v>
                </c:pt>
                <c:pt idx="242">
                  <c:v>1144315655.1212091</c:v>
                </c:pt>
                <c:pt idx="243">
                  <c:v>1160510655.1212091</c:v>
                </c:pt>
                <c:pt idx="244">
                  <c:v>1157765655.1212091</c:v>
                </c:pt>
                <c:pt idx="245">
                  <c:v>1157835655.1212091</c:v>
                </c:pt>
                <c:pt idx="246">
                  <c:v>1160970655.1212091</c:v>
                </c:pt>
                <c:pt idx="247">
                  <c:v>1160160655.1212091</c:v>
                </c:pt>
                <c:pt idx="248">
                  <c:v>1160160655.1212091</c:v>
                </c:pt>
                <c:pt idx="249">
                  <c:v>1160160655.1212091</c:v>
                </c:pt>
                <c:pt idx="250">
                  <c:v>1159765655.1212091</c:v>
                </c:pt>
                <c:pt idx="251">
                  <c:v>1159320655.1212091</c:v>
                </c:pt>
                <c:pt idx="252">
                  <c:v>1176865655.1212091</c:v>
                </c:pt>
                <c:pt idx="253">
                  <c:v>1174930655.1212091</c:v>
                </c:pt>
                <c:pt idx="254">
                  <c:v>1174330655.1212091</c:v>
                </c:pt>
                <c:pt idx="255">
                  <c:v>1174330655.1212091</c:v>
                </c:pt>
                <c:pt idx="256">
                  <c:v>1174330655.1212091</c:v>
                </c:pt>
                <c:pt idx="257">
                  <c:v>1171980655.1212091</c:v>
                </c:pt>
                <c:pt idx="258">
                  <c:v>1172010655.1212091</c:v>
                </c:pt>
                <c:pt idx="259">
                  <c:v>1176820655.1212091</c:v>
                </c:pt>
                <c:pt idx="260">
                  <c:v>1178820655.1212091</c:v>
                </c:pt>
                <c:pt idx="261">
                  <c:v>1178820655.1212091</c:v>
                </c:pt>
                <c:pt idx="262">
                  <c:v>1178820655.1212091</c:v>
                </c:pt>
                <c:pt idx="263">
                  <c:v>1178820655.1212091</c:v>
                </c:pt>
                <c:pt idx="264">
                  <c:v>1168820655.1212091</c:v>
                </c:pt>
                <c:pt idx="265">
                  <c:v>1168820655.1212091</c:v>
                </c:pt>
                <c:pt idx="266">
                  <c:v>1168820655.1212091</c:v>
                </c:pt>
                <c:pt idx="267">
                  <c:v>1165820655.1212091</c:v>
                </c:pt>
                <c:pt idx="268">
                  <c:v>1158820655.1212091</c:v>
                </c:pt>
                <c:pt idx="269">
                  <c:v>1158820655.1212091</c:v>
                </c:pt>
                <c:pt idx="270">
                  <c:v>1158820655.1212091</c:v>
                </c:pt>
                <c:pt idx="271">
                  <c:v>1158820655.1212091</c:v>
                </c:pt>
                <c:pt idx="272">
                  <c:v>1158820655.1212091</c:v>
                </c:pt>
                <c:pt idx="273">
                  <c:v>1158820655.1212091</c:v>
                </c:pt>
                <c:pt idx="274">
                  <c:v>1158820655.1212091</c:v>
                </c:pt>
                <c:pt idx="275">
                  <c:v>1158820655.1212091</c:v>
                </c:pt>
                <c:pt idx="276">
                  <c:v>1158820655.1212091</c:v>
                </c:pt>
                <c:pt idx="277">
                  <c:v>1158820655.1212091</c:v>
                </c:pt>
                <c:pt idx="278">
                  <c:v>1158820655.1212091</c:v>
                </c:pt>
                <c:pt idx="279">
                  <c:v>1158820655.1212091</c:v>
                </c:pt>
                <c:pt idx="280">
                  <c:v>1158820655.1212091</c:v>
                </c:pt>
                <c:pt idx="281">
                  <c:v>1158820655.1212091</c:v>
                </c:pt>
                <c:pt idx="282">
                  <c:v>1158820655.1212091</c:v>
                </c:pt>
                <c:pt idx="283">
                  <c:v>1158820655.1212091</c:v>
                </c:pt>
                <c:pt idx="284">
                  <c:v>1158820655.1212091</c:v>
                </c:pt>
                <c:pt idx="285">
                  <c:v>1158820655.1212091</c:v>
                </c:pt>
                <c:pt idx="286">
                  <c:v>1158820655.1212091</c:v>
                </c:pt>
                <c:pt idx="287">
                  <c:v>1158820655.1212091</c:v>
                </c:pt>
                <c:pt idx="288">
                  <c:v>1158820655.1212091</c:v>
                </c:pt>
                <c:pt idx="289">
                  <c:v>1158820655.1212091</c:v>
                </c:pt>
                <c:pt idx="290">
                  <c:v>1158820655.1212091</c:v>
                </c:pt>
                <c:pt idx="291">
                  <c:v>1158820655.1212091</c:v>
                </c:pt>
                <c:pt idx="292">
                  <c:v>1158820655.1212091</c:v>
                </c:pt>
                <c:pt idx="293">
                  <c:v>1158820655.1212091</c:v>
                </c:pt>
                <c:pt idx="294">
                  <c:v>1158820655.1212091</c:v>
                </c:pt>
                <c:pt idx="295">
                  <c:v>1158820655.1212091</c:v>
                </c:pt>
                <c:pt idx="296">
                  <c:v>1158820655.1212091</c:v>
                </c:pt>
                <c:pt idx="297">
                  <c:v>1158820655.1212091</c:v>
                </c:pt>
                <c:pt idx="298">
                  <c:v>1158820655.1212091</c:v>
                </c:pt>
                <c:pt idx="299">
                  <c:v>1164820655.1212091</c:v>
                </c:pt>
                <c:pt idx="300">
                  <c:v>1164820655.1212091</c:v>
                </c:pt>
                <c:pt idx="301">
                  <c:v>1162820655.1212091</c:v>
                </c:pt>
                <c:pt idx="302">
                  <c:v>1162820655.1212091</c:v>
                </c:pt>
                <c:pt idx="303">
                  <c:v>1162820655.1212091</c:v>
                </c:pt>
                <c:pt idx="304">
                  <c:v>1162820655.1212091</c:v>
                </c:pt>
                <c:pt idx="305">
                  <c:v>1162820655.1212091</c:v>
                </c:pt>
                <c:pt idx="306">
                  <c:v>1162820655.1212091</c:v>
                </c:pt>
                <c:pt idx="307">
                  <c:v>1157820655.1212091</c:v>
                </c:pt>
                <c:pt idx="308">
                  <c:v>1157820655.1212091</c:v>
                </c:pt>
                <c:pt idx="309">
                  <c:v>1157820655.1212091</c:v>
                </c:pt>
                <c:pt idx="310">
                  <c:v>1154820655.1212091</c:v>
                </c:pt>
                <c:pt idx="311">
                  <c:v>1154820655.1212091</c:v>
                </c:pt>
                <c:pt idx="312">
                  <c:v>1154820655.1212091</c:v>
                </c:pt>
                <c:pt idx="313">
                  <c:v>1154820655.1212091</c:v>
                </c:pt>
                <c:pt idx="314">
                  <c:v>1154820655.1212091</c:v>
                </c:pt>
                <c:pt idx="315">
                  <c:v>1154820655.1212091</c:v>
                </c:pt>
                <c:pt idx="316">
                  <c:v>1154820655.1212091</c:v>
                </c:pt>
                <c:pt idx="317">
                  <c:v>1154820655.1212091</c:v>
                </c:pt>
                <c:pt idx="318">
                  <c:v>1154820655.1212091</c:v>
                </c:pt>
                <c:pt idx="319">
                  <c:v>1154820655.1212091</c:v>
                </c:pt>
                <c:pt idx="320">
                  <c:v>1154820655.1212091</c:v>
                </c:pt>
                <c:pt idx="321">
                  <c:v>1154820655.1212091</c:v>
                </c:pt>
                <c:pt idx="322">
                  <c:v>1154820655.1212091</c:v>
                </c:pt>
                <c:pt idx="323">
                  <c:v>1154820655.1212091</c:v>
                </c:pt>
                <c:pt idx="324">
                  <c:v>1154820655.1212091</c:v>
                </c:pt>
                <c:pt idx="325">
                  <c:v>1154820655.1212091</c:v>
                </c:pt>
                <c:pt idx="326">
                  <c:v>1154820655.1212091</c:v>
                </c:pt>
                <c:pt idx="327">
                  <c:v>1154820655.1212091</c:v>
                </c:pt>
                <c:pt idx="328">
                  <c:v>1154820655.1212091</c:v>
                </c:pt>
                <c:pt idx="329">
                  <c:v>1154820655.1212091</c:v>
                </c:pt>
                <c:pt idx="330">
                  <c:v>1154820655.1212091</c:v>
                </c:pt>
                <c:pt idx="331">
                  <c:v>1154820655.1212091</c:v>
                </c:pt>
                <c:pt idx="332">
                  <c:v>1154820655.1212091</c:v>
                </c:pt>
                <c:pt idx="333">
                  <c:v>1154820655.1212091</c:v>
                </c:pt>
                <c:pt idx="334">
                  <c:v>1144820655.1212091</c:v>
                </c:pt>
                <c:pt idx="335">
                  <c:v>1144820655.1212091</c:v>
                </c:pt>
                <c:pt idx="336">
                  <c:v>1139820655.1212091</c:v>
                </c:pt>
                <c:pt idx="337">
                  <c:v>1139820655.1212091</c:v>
                </c:pt>
                <c:pt idx="338">
                  <c:v>1139820655.1212091</c:v>
                </c:pt>
                <c:pt idx="339">
                  <c:v>1139820655.1212091</c:v>
                </c:pt>
                <c:pt idx="340">
                  <c:v>1139820655.1212091</c:v>
                </c:pt>
                <c:pt idx="341">
                  <c:v>1134820655.1212091</c:v>
                </c:pt>
                <c:pt idx="342">
                  <c:v>1132820655.1212091</c:v>
                </c:pt>
                <c:pt idx="343">
                  <c:v>1132820655.1212091</c:v>
                </c:pt>
                <c:pt idx="344">
                  <c:v>1132820655.1212091</c:v>
                </c:pt>
                <c:pt idx="345">
                  <c:v>1132820655.1212091</c:v>
                </c:pt>
                <c:pt idx="346">
                  <c:v>1132820655.1212091</c:v>
                </c:pt>
                <c:pt idx="347">
                  <c:v>1132820655.1212091</c:v>
                </c:pt>
                <c:pt idx="348">
                  <c:v>1132820655.1212091</c:v>
                </c:pt>
                <c:pt idx="349">
                  <c:v>1132820655.1212091</c:v>
                </c:pt>
                <c:pt idx="350">
                  <c:v>1132820655.1212091</c:v>
                </c:pt>
                <c:pt idx="351">
                  <c:v>1132820655.1212091</c:v>
                </c:pt>
                <c:pt idx="352">
                  <c:v>1132820655.1212091</c:v>
                </c:pt>
                <c:pt idx="353">
                  <c:v>1132820655.1212091</c:v>
                </c:pt>
                <c:pt idx="354">
                  <c:v>1132820655.1212091</c:v>
                </c:pt>
                <c:pt idx="355">
                  <c:v>1132820655.1212091</c:v>
                </c:pt>
                <c:pt idx="356">
                  <c:v>1132820655.1212091</c:v>
                </c:pt>
                <c:pt idx="357">
                  <c:v>1132820655.1212091</c:v>
                </c:pt>
                <c:pt idx="358">
                  <c:v>1132820655.1212091</c:v>
                </c:pt>
                <c:pt idx="359">
                  <c:v>1132820655.1212091</c:v>
                </c:pt>
                <c:pt idx="360">
                  <c:v>1132820655.1212091</c:v>
                </c:pt>
                <c:pt idx="361">
                  <c:v>1132820655.1212091</c:v>
                </c:pt>
                <c:pt idx="362">
                  <c:v>1132820655.1212091</c:v>
                </c:pt>
                <c:pt idx="363">
                  <c:v>1132820655.1212091</c:v>
                </c:pt>
                <c:pt idx="364">
                  <c:v>1132820655.1212091</c:v>
                </c:pt>
                <c:pt idx="365">
                  <c:v>1132820655.1212091</c:v>
                </c:pt>
                <c:pt idx="366">
                  <c:v>1132820655.1212091</c:v>
                </c:pt>
              </c:numCache>
            </c:numRef>
          </c:val>
          <c:smooth val="0"/>
        </c:ser>
        <c:dLbls>
          <c:showLegendKey val="0"/>
          <c:showVal val="0"/>
          <c:showCatName val="0"/>
          <c:showSerName val="0"/>
          <c:showPercent val="0"/>
          <c:showBubbleSize val="0"/>
        </c:dLbls>
        <c:smooth val="0"/>
        <c:axId val="131510104"/>
        <c:axId val="131510496"/>
      </c:lineChart>
      <c:dateAx>
        <c:axId val="131510104"/>
        <c:scaling>
          <c:orientation val="minMax"/>
          <c:max val="42826"/>
          <c:min val="42461"/>
        </c:scaling>
        <c:delete val="0"/>
        <c:axPos val="b"/>
        <c:numFmt formatCode="dd/mm/yy;@" sourceLinked="0"/>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31510496"/>
        <c:crosses val="autoZero"/>
        <c:auto val="1"/>
        <c:lblOffset val="100"/>
        <c:baseTimeUnit val="days"/>
      </c:dateAx>
      <c:valAx>
        <c:axId val="131510496"/>
        <c:scaling>
          <c:orientation val="minMax"/>
        </c:scaling>
        <c:delete val="0"/>
        <c:axPos val="l"/>
        <c:majorGridlines/>
        <c:numFmt formatCode="_-* #,##0_-;\-* #,##0_-;_-* &quot;-&quot;??_-;_-@_-" sourceLinked="1"/>
        <c:majorTickMark val="out"/>
        <c:minorTickMark val="out"/>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1510104"/>
        <c:crosses val="autoZero"/>
        <c:crossBetween val="between"/>
        <c:dispUnits>
          <c:builtInUnit val="millions"/>
          <c:dispUnitsLbl>
            <c:layout>
              <c:manualLayout>
                <c:xMode val="edge"/>
                <c:yMode val="edge"/>
                <c:x val="2.0926490912993402E-2"/>
                <c:y val="0.18920028801709524"/>
              </c:manualLayout>
            </c:layout>
            <c:tx>
              <c:rich>
                <a:bodyPr rot="-5400000" vert="horz"/>
                <a:lstStyle/>
                <a:p>
                  <a:pPr algn="ctr">
                    <a:defRPr sz="1400" b="0" i="0" u="none" strike="noStrike" baseline="0">
                      <a:solidFill>
                        <a:srgbClr val="000000"/>
                      </a:solidFill>
                      <a:latin typeface="Arial"/>
                      <a:ea typeface="Arial"/>
                      <a:cs typeface="Arial"/>
                    </a:defRPr>
                  </a:pPr>
                  <a:r>
                    <a:rPr lang="en-GB"/>
                    <a:t>Millions (£)</a:t>
                  </a:r>
                </a:p>
              </c:rich>
            </c:tx>
          </c:dispUnitsLbl>
        </c:dispUnits>
      </c:valAx>
    </c:plotArea>
    <c:legend>
      <c:legendPos val="b"/>
      <c:layout>
        <c:manualLayout>
          <c:xMode val="edge"/>
          <c:yMode val="edge"/>
          <c:x val="6.2809820756453305E-2"/>
          <c:y val="0.9251689907476649"/>
          <c:w val="0.87438018403232998"/>
          <c:h val="5.0001710680019747E-2"/>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9EEC-3283-4C34-894E-5044F5B5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1962</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Saeed, Khadija</dc:creator>
  <cp:keywords>Council meetings;Government, politics and public administration; Local government; Decision making; Council meetings;</cp:keywords>
  <cp:lastModifiedBy>Rawcliffe, Cath</cp:lastModifiedBy>
  <cp:revision>4</cp:revision>
  <cp:lastPrinted>2015-09-04T11:23:00Z</cp:lastPrinted>
  <dcterms:created xsi:type="dcterms:W3CDTF">2017-01-19T11:55:00Z</dcterms:created>
  <dcterms:modified xsi:type="dcterms:W3CDTF">2017-01-20T09:48:00Z</dcterms:modified>
</cp:coreProperties>
</file>